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252" w14:textId="77777777" w:rsidR="00CC4E4A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</w:p>
    <w:p w14:paraId="6376CB0B" w14:textId="1C3EE6B2" w:rsidR="00511200" w:rsidRPr="00AF5090" w:rsidRDefault="003339B5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RE</w:t>
      </w:r>
      <w:r w:rsidR="00511200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Action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75"/>
        <w:gridCol w:w="1730"/>
        <w:gridCol w:w="885"/>
        <w:gridCol w:w="709"/>
        <w:gridCol w:w="880"/>
        <w:gridCol w:w="1170"/>
        <w:gridCol w:w="807"/>
        <w:gridCol w:w="701"/>
        <w:gridCol w:w="459"/>
        <w:gridCol w:w="1671"/>
        <w:gridCol w:w="148"/>
        <w:gridCol w:w="2588"/>
      </w:tblGrid>
      <w:tr w:rsidR="00511200" w:rsidRPr="00AF5090" w14:paraId="2A6AA576" w14:textId="77777777" w:rsidTr="00CC4E4A">
        <w:tc>
          <w:tcPr>
            <w:tcW w:w="13948" w:type="dxa"/>
            <w:gridSpan w:val="13"/>
            <w:shd w:val="clear" w:color="auto" w:fill="B6DDE8"/>
          </w:tcPr>
          <w:p w14:paraId="5BB0D866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bookmarkStart w:id="0" w:name="_Hlk63153806"/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511200" w:rsidRPr="00AF5090" w14:paraId="461A1257" w14:textId="77777777" w:rsidTr="004F531A">
        <w:tc>
          <w:tcPr>
            <w:tcW w:w="5524" w:type="dxa"/>
            <w:gridSpan w:val="5"/>
            <w:shd w:val="clear" w:color="auto" w:fill="auto"/>
          </w:tcPr>
          <w:p w14:paraId="585A62A1" w14:textId="77777777" w:rsidR="00511200" w:rsidRPr="00CC4E4A" w:rsidRDefault="00511200" w:rsidP="004F531A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Key Improvement Priority: </w:t>
            </w:r>
          </w:p>
          <w:p w14:paraId="2B0C56AA" w14:textId="20AB1B49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1-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9F385C" w:rsidRPr="009F385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Review teaching and learning of the subject and establish subject knowledge of teachers and any CPD needed</w:t>
            </w:r>
          </w:p>
          <w:p w14:paraId="136585B0" w14:textId="635057D9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2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Collect samples of work from all classes to monitor impact and attainment.</w:t>
            </w:r>
          </w:p>
          <w:p w14:paraId="38C660D1" w14:textId="6C7893E7" w:rsidR="00F17A5E" w:rsidRPr="00600916" w:rsidRDefault="00511200" w:rsidP="00F17A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3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600916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Understand how disadvantaged and low attaining pupils </w:t>
            </w:r>
            <w:r w:rsidR="00630504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are </w:t>
            </w:r>
            <w:r w:rsidR="00600916" w:rsidRPr="00600916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performing in relation to their peers?</w:t>
            </w:r>
          </w:p>
          <w:p w14:paraId="0D8EF7F1" w14:textId="567C5481" w:rsidR="004F531A" w:rsidRPr="004943EC" w:rsidRDefault="00600916" w:rsidP="00CC4E4A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4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Know how character</w:t>
            </w:r>
            <w:r w:rsidR="0063050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is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being developed </w:t>
            </w:r>
            <w:r w:rsidR="004943E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through</w:t>
            </w:r>
            <w:r w:rsidR="0063050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RE</w:t>
            </w:r>
            <w:r w:rsidR="004943E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. </w:t>
            </w:r>
            <w:r w:rsidR="004F531A" w:rsidRPr="004F531A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5</w:t>
            </w:r>
            <w:r w:rsidR="004F531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- </w:t>
            </w:r>
            <w:r w:rsidR="004F531A" w:rsidRPr="004F531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Evaluate children’s depth of understanding </w:t>
            </w:r>
            <w:r w:rsidR="004B4369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of major religions</w:t>
            </w:r>
            <w:r w:rsidR="002A3D7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, linking this knowledge </w:t>
            </w:r>
            <w:r w:rsidR="00EA761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across the curriculum.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40CA8D86" w14:textId="77777777" w:rsidR="00511200" w:rsidRPr="009D6F0C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Year</w:t>
            </w:r>
          </w:p>
          <w:p w14:paraId="35A437A1" w14:textId="3C9A1B58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202</w:t>
            </w:r>
            <w:r w:rsidR="00E32264">
              <w:rPr>
                <w:rFonts w:ascii="Arial" w:eastAsia="Times New Roman" w:hAnsi="Arial" w:cs="Arial"/>
                <w:b/>
                <w:lang w:eastAsia="en-GB"/>
              </w:rPr>
              <w:t>4</w:t>
            </w:r>
            <w:r w:rsidR="00CC4E4A" w:rsidRPr="009D6F0C">
              <w:rPr>
                <w:rFonts w:ascii="Arial" w:eastAsia="Times New Roman" w:hAnsi="Arial" w:cs="Arial"/>
                <w:b/>
                <w:lang w:eastAsia="en-GB"/>
              </w:rPr>
              <w:t>-202</w:t>
            </w:r>
            <w:r w:rsidR="00E32264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  <w:p w14:paraId="77F6EF2E" w14:textId="77777777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742B3CB" w14:textId="77777777" w:rsidR="00511200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Review Date</w:t>
            </w:r>
          </w:p>
          <w:p w14:paraId="34F844CB" w14:textId="50CB7009" w:rsidR="009D6F0C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July 202</w:t>
            </w:r>
            <w:r w:rsidR="00E32264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</w:tc>
        <w:tc>
          <w:tcPr>
            <w:tcW w:w="5567" w:type="dxa"/>
            <w:gridSpan w:val="5"/>
            <w:shd w:val="clear" w:color="auto" w:fill="auto"/>
          </w:tcPr>
          <w:p w14:paraId="2B7D5572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243B0C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9E1EC9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B3ECB21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3039338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B33AA48" w14:textId="6FC22E29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Lead person</w:t>
            </w:r>
            <w:r w:rsidR="00B0782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</w:t>
            </w: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accountable for the plan: </w:t>
            </w:r>
            <w:r w:rsidR="00D103C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Mr</w:t>
            </w:r>
            <w:r w:rsidR="00C219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 Fitz</w:t>
            </w:r>
            <w:r w:rsidR="00B0782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</w:t>
            </w:r>
            <w:r w:rsidR="00C2193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atrick</w:t>
            </w:r>
          </w:p>
          <w:p w14:paraId="281844F4" w14:textId="77777777" w:rsidR="00511200" w:rsidRPr="00CC4E4A" w:rsidRDefault="00511200" w:rsidP="00CC4E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511200" w:rsidRPr="00AF5090" w14:paraId="46F1122B" w14:textId="77777777" w:rsidTr="00BA7C29">
        <w:tc>
          <w:tcPr>
            <w:tcW w:w="2200" w:type="dxa"/>
            <w:gridSpan w:val="2"/>
            <w:shd w:val="clear" w:color="auto" w:fill="B6DDE8"/>
          </w:tcPr>
          <w:p w14:paraId="713E7B4E" w14:textId="77777777" w:rsidR="009D6F0C" w:rsidRDefault="009D6F0C" w:rsidP="009D6F0C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  <w:t xml:space="preserve">Focus on outcomes. Specific, measurable impact on pupils. </w:t>
            </w:r>
          </w:p>
          <w:p w14:paraId="050D482A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1748" w:type="dxa"/>
            <w:gridSpan w:val="11"/>
            <w:shd w:val="clear" w:color="auto" w:fill="auto"/>
          </w:tcPr>
          <w:p w14:paraId="69962B3A" w14:textId="069CE31E" w:rsidR="00511200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to be aware of the impact of </w:t>
            </w:r>
            <w:r w:rsidR="007A00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major religions</w:t>
            </w:r>
            <w:r w:rsidR="00B5080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on the world around them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  <w:p w14:paraId="4BC1B344" w14:textId="604F8F68" w:rsidR="00377587" w:rsidRPr="00CC4E4A" w:rsidRDefault="00377587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Children should be able to explain </w:t>
            </w:r>
            <w:r w:rsidR="00DA1D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</w:t>
            </w:r>
            <w:r w:rsidR="00C109B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456C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different </w:t>
            </w:r>
            <w:r w:rsidR="00C109B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religions </w:t>
            </w:r>
            <w:r w:rsidR="00DA1D7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affect</w:t>
            </w:r>
            <w:r w:rsidR="00C109B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 communities in which they live.</w:t>
            </w:r>
          </w:p>
          <w:p w14:paraId="41054436" w14:textId="2BE34561" w:rsidR="00511200" w:rsidRPr="00CC4E4A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Children</w:t>
            </w:r>
            <w:r w:rsidR="0050734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should be able to make links across the curriculum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  <w:p w14:paraId="021693ED" w14:textId="41662202" w:rsidR="00511200" w:rsidRPr="00CC4E4A" w:rsidRDefault="006A3258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</w:t>
            </w:r>
            <w:r w:rsidR="00511200"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curriculum to be delivered across the school with clear progression throughout the school using progression maps provided. </w:t>
            </w:r>
          </w:p>
          <w:p w14:paraId="3735A970" w14:textId="0DFFF9C3" w:rsidR="00511200" w:rsidRPr="00CC4E4A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Monitor the </w:t>
            </w:r>
            <w:r w:rsidR="004E6C0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subject knowledge of both </w:t>
            </w:r>
            <w:r w:rsidR="00420DC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staff and children</w:t>
            </w:r>
          </w:p>
          <w:p w14:paraId="698FA670" w14:textId="136500AF" w:rsidR="00CC4E4A" w:rsidRPr="004F531A" w:rsidRDefault="00511200" w:rsidP="004F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Complete pupil voice to learn the children’s views on </w:t>
            </w:r>
            <w:r w:rsidR="0064083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</w:p>
        </w:tc>
      </w:tr>
      <w:bookmarkEnd w:id="0"/>
      <w:tr w:rsidR="00511200" w:rsidRPr="00AF5090" w14:paraId="1002D3ED" w14:textId="77777777" w:rsidTr="000523CF">
        <w:trPr>
          <w:trHeight w:val="744"/>
        </w:trPr>
        <w:tc>
          <w:tcPr>
            <w:tcW w:w="4815" w:type="dxa"/>
            <w:gridSpan w:val="4"/>
            <w:shd w:val="clear" w:color="auto" w:fill="auto"/>
          </w:tcPr>
          <w:p w14:paraId="2952E2A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  <w:t>Intent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BCDCAC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Implementation – </w:t>
            </w:r>
            <w:r w:rsidRPr="009D6F0C">
              <w:rPr>
                <w:rFonts w:ascii="Arial" w:eastAsia="Times New Roman" w:hAnsi="Arial" w:cs="Arial"/>
                <w:b/>
                <w:sz w:val="20"/>
                <w:szCs w:val="32"/>
                <w:lang w:eastAsia="en-GB"/>
              </w:rPr>
              <w:t>how will it be done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0E91147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Time Scale</w:t>
            </w:r>
          </w:p>
          <w:p w14:paraId="1848BAAB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Start and End dates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92DFED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Training/CPD</w:t>
            </w:r>
          </w:p>
          <w:p w14:paraId="3496A4AC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needs</w:t>
            </w:r>
          </w:p>
        </w:tc>
        <w:tc>
          <w:tcPr>
            <w:tcW w:w="2588" w:type="dxa"/>
            <w:shd w:val="clear" w:color="auto" w:fill="auto"/>
          </w:tcPr>
          <w:p w14:paraId="12382C2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Resources/Costs/Time</w:t>
            </w:r>
          </w:p>
        </w:tc>
      </w:tr>
      <w:tr w:rsidR="00511200" w:rsidRPr="00AF5090" w14:paraId="2DD6DCA9" w14:textId="77777777" w:rsidTr="000523CF">
        <w:tc>
          <w:tcPr>
            <w:tcW w:w="4815" w:type="dxa"/>
            <w:gridSpan w:val="4"/>
            <w:shd w:val="clear" w:color="auto" w:fill="auto"/>
          </w:tcPr>
          <w:p w14:paraId="3711F31F" w14:textId="34C1C25F" w:rsidR="00511200" w:rsidRPr="000523CF" w:rsidRDefault="009F385C" w:rsidP="002F1BB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Review teaching and learning of the subject and establish</w:t>
            </w:r>
            <w:r w:rsidR="008F26DB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subject knowledge </w:t>
            </w: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of teachers</w:t>
            </w:r>
            <w:r w:rsidR="008F5F27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and any CPD needed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46A8B83D" w14:textId="3754DA37" w:rsidR="00511200" w:rsidRPr="00CC4E4A" w:rsidRDefault="008F5F27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Lesson observations, pupil voice</w:t>
            </w:r>
            <w:r w:rsidR="00E61C50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, staff meetings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1B0DD0B" w14:textId="6D0DA6AF" w:rsidR="00511200" w:rsidRPr="00CC4E4A" w:rsidRDefault="00822AAD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E3226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E3226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091CC385" w14:textId="1CDC266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CPD </w:t>
            </w:r>
            <w:r w:rsidR="00C1765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–</w:t>
            </w:r>
            <w:r w:rsidR="009D2BDF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C1765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OB</w:t>
            </w:r>
            <w:r w:rsidR="00685D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C1765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to go on</w:t>
            </w:r>
            <w:r w:rsidR="00685D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training</w:t>
            </w:r>
            <w:r w:rsidR="00DA1B2B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for Kent agreed syllabus</w:t>
            </w:r>
            <w:r w:rsidR="00400809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,</w:t>
            </w:r>
            <w:r w:rsidR="00685D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DA1B2B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RE Today</w:t>
            </w:r>
            <w:r w:rsidR="00400809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Services</w:t>
            </w:r>
            <w:r w:rsidR="001D632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, and feedback to rest of the staff.</w:t>
            </w:r>
          </w:p>
        </w:tc>
        <w:tc>
          <w:tcPr>
            <w:tcW w:w="2588" w:type="dxa"/>
            <w:shd w:val="clear" w:color="auto" w:fill="auto"/>
          </w:tcPr>
          <w:p w14:paraId="2F857499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CPD</w:t>
            </w:r>
          </w:p>
        </w:tc>
      </w:tr>
      <w:tr w:rsidR="00511200" w:rsidRPr="00AF5090" w14:paraId="45E71D40" w14:textId="77777777" w:rsidTr="000523CF">
        <w:trPr>
          <w:trHeight w:val="575"/>
        </w:trPr>
        <w:tc>
          <w:tcPr>
            <w:tcW w:w="4815" w:type="dxa"/>
            <w:gridSpan w:val="4"/>
            <w:shd w:val="clear" w:color="auto" w:fill="auto"/>
          </w:tcPr>
          <w:p w14:paraId="64C6A435" w14:textId="1767B5AD" w:rsidR="00CC4E4A" w:rsidRPr="000523CF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Collect samples of work from all classes to monitor impact and attainment. </w:t>
            </w:r>
          </w:p>
          <w:p w14:paraId="33967CC4" w14:textId="77777777" w:rsidR="0024411F" w:rsidRPr="000523CF" w:rsidRDefault="0024411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</w:p>
        </w:tc>
        <w:tc>
          <w:tcPr>
            <w:tcW w:w="2759" w:type="dxa"/>
            <w:gridSpan w:val="3"/>
            <w:shd w:val="clear" w:color="auto" w:fill="auto"/>
          </w:tcPr>
          <w:p w14:paraId="2F3D3A2E" w14:textId="77777777" w:rsidR="00511200" w:rsidRPr="00CC4E4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Book looks to be carried out each term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AEDBB6B" w14:textId="5F3F0049" w:rsidR="00511200" w:rsidRPr="00CC4E4A" w:rsidRDefault="00822AAD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E3226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E3226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6D3BE75D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2E27BF6A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Curriculum time to collate.</w:t>
            </w:r>
          </w:p>
        </w:tc>
      </w:tr>
      <w:tr w:rsidR="00511200" w:rsidRPr="00AF5090" w14:paraId="205B4CDD" w14:textId="77777777" w:rsidTr="000523CF">
        <w:tc>
          <w:tcPr>
            <w:tcW w:w="4815" w:type="dxa"/>
            <w:gridSpan w:val="4"/>
            <w:shd w:val="clear" w:color="auto" w:fill="auto"/>
          </w:tcPr>
          <w:p w14:paraId="6B2449D0" w14:textId="7AA055B1" w:rsidR="0024411F" w:rsidRPr="000523CF" w:rsidRDefault="00F6132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Understand how </w:t>
            </w:r>
            <w:r w:rsidR="00ED66A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disadvantaged </w:t>
            </w:r>
            <w:r w:rsidR="006F2530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and</w:t>
            </w:r>
            <w:r w:rsidR="00D31998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low attaining</w:t>
            </w:r>
            <w:r w:rsidR="006F2530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pupils</w:t>
            </w:r>
            <w:r w:rsidR="00454CA4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are</w:t>
            </w:r>
            <w:r w:rsidR="00ED66A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</w:t>
            </w:r>
            <w:r w:rsidR="0061718B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performing </w:t>
            </w:r>
            <w:r w:rsidR="001F1835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in relation to their peers?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A309AA9" w14:textId="4C2D75EE" w:rsidR="00511200" w:rsidRPr="00CC4E4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2A411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Subject team to </w:t>
            </w:r>
            <w:r w:rsidR="0026075B" w:rsidRPr="002A411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carry out book look and pupil voice of those from disadvantage backgrounds</w:t>
            </w:r>
            <w:r w:rsidR="00E61C50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/low attainers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65AA2706" w14:textId="68E760C7" w:rsidR="00511200" w:rsidRPr="00CC4E4A" w:rsidRDefault="00CC4E4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 w:rsidR="00822AAD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4BA80505" w14:textId="27C60EDA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07D5639E" w14:textId="56722408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Curriculum time to </w:t>
            </w:r>
            <w:r w:rsidR="0048608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collate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</w:t>
            </w:r>
            <w:r w:rsidR="00696C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Teacher time</w:t>
            </w:r>
          </w:p>
        </w:tc>
      </w:tr>
      <w:tr w:rsidR="00BA7C29" w:rsidRPr="00AF5090" w14:paraId="07B88E36" w14:textId="77777777" w:rsidTr="000523CF">
        <w:tc>
          <w:tcPr>
            <w:tcW w:w="4815" w:type="dxa"/>
            <w:gridSpan w:val="4"/>
            <w:shd w:val="clear" w:color="auto" w:fill="auto"/>
          </w:tcPr>
          <w:p w14:paraId="7BEFB020" w14:textId="585896E5" w:rsidR="00BA7C29" w:rsidRPr="000523CF" w:rsidRDefault="00F6132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Know h</w:t>
            </w:r>
            <w:r w:rsidR="002A411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ow character </w:t>
            </w:r>
            <w:r w:rsidR="00376033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is </w:t>
            </w:r>
            <w:r w:rsidR="002A411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being developed through </w:t>
            </w:r>
            <w:r w:rsidR="00376033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RE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3544AA5F" w14:textId="567F9FE0" w:rsidR="00BA7C29" w:rsidRDefault="00406FBB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Monitor the links being made between RE and PSHE</w:t>
            </w:r>
            <w:r w:rsidR="00794B22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 but </w:t>
            </w:r>
            <w:r w:rsidR="00794B22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lastRenderedPageBreak/>
              <w:t xml:space="preserve">ensuring both </w:t>
            </w:r>
            <w:r w:rsidR="000C0F2A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subjects are taught separately.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2648C3F9" w14:textId="17A9EA5A" w:rsidR="00BA7C29" w:rsidRPr="00CC4E4A" w:rsidRDefault="00FE0A8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lastRenderedPageBreak/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5092E98B" w14:textId="77777777" w:rsidR="00BA7C29" w:rsidRPr="00CC4E4A" w:rsidRDefault="00BA7C29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2F165B47" w14:textId="1D69112A" w:rsidR="00BA7C29" w:rsidRPr="00CC4E4A" w:rsidRDefault="00BC54C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PSHE </w:t>
            </w:r>
            <w:r w:rsidR="004A1072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assemblies</w:t>
            </w:r>
          </w:p>
        </w:tc>
      </w:tr>
      <w:tr w:rsidR="0042281B" w:rsidRPr="00AF5090" w14:paraId="2EF276C4" w14:textId="77777777" w:rsidTr="000523CF">
        <w:tc>
          <w:tcPr>
            <w:tcW w:w="4815" w:type="dxa"/>
            <w:gridSpan w:val="4"/>
            <w:shd w:val="clear" w:color="auto" w:fill="auto"/>
          </w:tcPr>
          <w:p w14:paraId="4B154ECE" w14:textId="37FA6AF3" w:rsidR="0042281B" w:rsidRDefault="0042281B" w:rsidP="008600DB">
            <w:pPr>
              <w:tabs>
                <w:tab w:val="left" w:pos="183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Ensure organised and individual worldviews are taught throughout the school</w:t>
            </w:r>
            <w:r w:rsidR="00A60B48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, both religious and non-religious.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0B7D05E9" w14:textId="220E450A" w:rsidR="0042281B" w:rsidRDefault="00A9770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Using </w:t>
            </w:r>
            <w:r w:rsidR="00985905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Kent Agreed Syllabus to ensure full coverage.</w:t>
            </w: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 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65883A6" w14:textId="4134E226" w:rsidR="0042281B" w:rsidRPr="00CC4E4A" w:rsidRDefault="0098590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1CBF6680" w14:textId="77777777" w:rsidR="0042281B" w:rsidRPr="00CC4E4A" w:rsidRDefault="0042281B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75CC0541" w14:textId="2664DBC0" w:rsidR="0042281B" w:rsidRDefault="0098590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Kent Agreed Syllabus</w:t>
            </w:r>
          </w:p>
        </w:tc>
      </w:tr>
      <w:tr w:rsidR="008600DB" w:rsidRPr="00AF5090" w14:paraId="526DFB83" w14:textId="77777777" w:rsidTr="000523CF">
        <w:tc>
          <w:tcPr>
            <w:tcW w:w="4815" w:type="dxa"/>
            <w:gridSpan w:val="4"/>
            <w:shd w:val="clear" w:color="auto" w:fill="auto"/>
          </w:tcPr>
          <w:p w14:paraId="01081598" w14:textId="7FE09D0E" w:rsidR="008600DB" w:rsidRPr="000523CF" w:rsidRDefault="008600DB" w:rsidP="008600DB">
            <w:pPr>
              <w:tabs>
                <w:tab w:val="left" w:pos="183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Ensure key vocabulary is highlighted and taught to each class at the beginning of a unit and throughout.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2E3124B0" w14:textId="04FA0343" w:rsidR="008600DB" w:rsidRDefault="008600DB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Unit opening page to contain key vocabulary</w:t>
            </w:r>
            <w:r w:rsidR="00AE2DB7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2E593DD2" w14:textId="09FDC9E9" w:rsidR="008600DB" w:rsidRPr="00CC4E4A" w:rsidRDefault="00AE2DB7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0A56404" w14:textId="77777777" w:rsidR="008600DB" w:rsidRPr="00CC4E4A" w:rsidRDefault="008600DB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53FAAA8E" w14:textId="36E9939C" w:rsidR="008600DB" w:rsidRDefault="00985905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Kent Agreed Syllabus</w:t>
            </w:r>
          </w:p>
        </w:tc>
      </w:tr>
      <w:tr w:rsidR="00827B5A" w:rsidRPr="00AF5090" w14:paraId="3E989BF5" w14:textId="77777777" w:rsidTr="000523CF">
        <w:tc>
          <w:tcPr>
            <w:tcW w:w="4815" w:type="dxa"/>
            <w:gridSpan w:val="4"/>
            <w:shd w:val="clear" w:color="auto" w:fill="auto"/>
          </w:tcPr>
          <w:p w14:paraId="42ACA73A" w14:textId="78A3BD80" w:rsidR="00827B5A" w:rsidRPr="000523CF" w:rsidRDefault="004F531A" w:rsidP="004F531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Evaluate children’s depth of understanding </w:t>
            </w:r>
            <w:r w:rsidR="00EA6A51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of major religions</w:t>
            </w:r>
            <w:r w:rsidR="00A05408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, linking this knowledge across the </w:t>
            </w:r>
            <w:r w:rsidR="00694E1D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curriculum.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7498421F" w14:textId="5F927596" w:rsidR="00827B5A" w:rsidRPr="00FE0A8A" w:rsidRDefault="004F531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Pupil Voice</w:t>
            </w:r>
            <w:r w:rsidR="00BC25E7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,</w:t>
            </w:r>
            <w:r w:rsidR="009B424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 book looks</w:t>
            </w:r>
            <w:r w:rsidR="00BC25E7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, displays</w:t>
            </w:r>
            <w:r w:rsidR="009B424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102D883D" w14:textId="08C64C7A" w:rsidR="00827B5A" w:rsidRPr="00CC4E4A" w:rsidRDefault="004F531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9197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DD05212" w14:textId="77777777" w:rsidR="00827B5A" w:rsidRPr="00CC4E4A" w:rsidRDefault="00827B5A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7BE94212" w14:textId="31F03A94" w:rsidR="00827B5A" w:rsidRDefault="00424F54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Artefacts</w:t>
            </w:r>
            <w:r w:rsidR="007233B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 In person and virtual tours</w:t>
            </w:r>
            <w:r w:rsidR="008A3B3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7233B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of</w:t>
            </w:r>
            <w:r w:rsidR="00762D4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different religions’ places of worship.</w:t>
            </w:r>
            <w:r w:rsidR="00EE4DF7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</w:t>
            </w:r>
            <w:r w:rsidR="009E7BD6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Guest speakers.</w:t>
            </w:r>
          </w:p>
        </w:tc>
      </w:tr>
      <w:tr w:rsidR="00511200" w:rsidRPr="00AF5090" w14:paraId="5D6AE52B" w14:textId="77777777" w:rsidTr="00CC4E4A">
        <w:tc>
          <w:tcPr>
            <w:tcW w:w="13948" w:type="dxa"/>
            <w:gridSpan w:val="13"/>
            <w:shd w:val="clear" w:color="auto" w:fill="B6DDE8"/>
          </w:tcPr>
          <w:p w14:paraId="69A0710E" w14:textId="77777777" w:rsidR="00D103C5" w:rsidRDefault="00D103C5" w:rsidP="00D103C5">
            <w:r w:rsidRPr="00064841">
              <w:rPr>
                <w:rStyle w:val="Heading1Char"/>
              </w:rPr>
              <w:t>IMPACT / Assessment and monitoring</w:t>
            </w:r>
            <w:r>
              <w:t xml:space="preserve"> </w:t>
            </w:r>
          </w:p>
          <w:p w14:paraId="4B1E1DD2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CC4E4A" w:rsidRPr="00AF5090" w14:paraId="27A07A37" w14:textId="77777777" w:rsidTr="00BA7C29">
        <w:tc>
          <w:tcPr>
            <w:tcW w:w="2025" w:type="dxa"/>
            <w:shd w:val="clear" w:color="auto" w:fill="auto"/>
          </w:tcPr>
          <w:p w14:paraId="68E68154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Who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6DFC6421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What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069A466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Where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678C373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When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92FD3C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How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ADBA6F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External Validation</w:t>
            </w:r>
          </w:p>
        </w:tc>
      </w:tr>
      <w:tr w:rsidR="00CC4E4A" w:rsidRPr="00AF5090" w14:paraId="2D6F84AF" w14:textId="77777777" w:rsidTr="00BA7C29">
        <w:tc>
          <w:tcPr>
            <w:tcW w:w="2025" w:type="dxa"/>
            <w:shd w:val="clear" w:color="auto" w:fill="auto"/>
          </w:tcPr>
          <w:p w14:paraId="527D63D3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All teaching Staff</w:t>
            </w:r>
          </w:p>
          <w:p w14:paraId="2F6B794F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9199581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75894C7A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2F47E3A0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73F43BFA" w14:textId="37D30F94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Coverage of </w:t>
            </w:r>
            <w:r w:rsidR="00C44386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RE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7BADD144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Whole School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564209D3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Each term collect samples of work from each class. 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E7FC1B0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Communicate with other members of staff and collate into a folder. 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46365534" w14:textId="77777777" w:rsidR="00511200" w:rsidRPr="00D93113" w:rsidRDefault="00D103C5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Share findings and discuss at staff meeting (include subject governor in this)</w:t>
            </w:r>
          </w:p>
        </w:tc>
      </w:tr>
      <w:tr w:rsidR="00F17A5E" w:rsidRPr="00AF5090" w14:paraId="33FF65D3" w14:textId="77777777" w:rsidTr="00BA7C29">
        <w:tc>
          <w:tcPr>
            <w:tcW w:w="2025" w:type="dxa"/>
            <w:shd w:val="clear" w:color="auto" w:fill="auto"/>
          </w:tcPr>
          <w:p w14:paraId="2A41EA6B" w14:textId="76CD50E0" w:rsidR="00F17A5E" w:rsidRDefault="009B78FB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All RE teaching staff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3DCAD13B" w14:textId="33F29185" w:rsidR="00F17A5E" w:rsidRDefault="00222939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All children to answer the unit question at the start and end of every unit. This can be done </w:t>
            </w:r>
            <w:r w:rsidR="001D5074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by pictures for EYFS and KS1, otherwise by writing in KS2.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28C98D6A" w14:textId="00311F8F" w:rsidR="00F17A5E" w:rsidRDefault="00222939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Every class.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5742F233" w14:textId="329857DB" w:rsidR="00F17A5E" w:rsidRDefault="005803B1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At start and end of every RE unit taught in each year group.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E526E70" w14:textId="604B60FB" w:rsidR="00F17A5E" w:rsidRDefault="00176F37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Every RE teacher to carry out this assessment as outlined.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7B638557" w14:textId="1B77F292" w:rsidR="00F17A5E" w:rsidRPr="00D93113" w:rsidRDefault="00CE6902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Share findings via book looks with subject governor.</w:t>
            </w:r>
          </w:p>
        </w:tc>
      </w:tr>
      <w:tr w:rsidR="00511200" w:rsidRPr="00AF5090" w14:paraId="29583BE3" w14:textId="77777777" w:rsidTr="00CC4E4A">
        <w:tc>
          <w:tcPr>
            <w:tcW w:w="13948" w:type="dxa"/>
            <w:gridSpan w:val="13"/>
            <w:shd w:val="clear" w:color="auto" w:fill="auto"/>
          </w:tcPr>
          <w:p w14:paraId="67F21602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</w:pPr>
            <w:r w:rsidRPr="00B12C4F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 xml:space="preserve">Evaluation against success criteria. </w:t>
            </w:r>
          </w:p>
          <w:p w14:paraId="4D433A12" w14:textId="77777777" w:rsidR="00511200" w:rsidRDefault="00511200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ab/>
            </w:r>
          </w:p>
          <w:p w14:paraId="27179B3C" w14:textId="1720B861" w:rsidR="0024411F" w:rsidRDefault="00A35C25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Rever</w:t>
            </w:r>
            <w:r w:rsidR="007218D2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end Mandy visited the school in November 2021 to assess the teaching of RE across the school including reviewing the scheme of work used</w:t>
            </w:r>
            <w:r w:rsidR="00F26D22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. During this visit Rev. Mandy </w:t>
            </w:r>
            <w:r w:rsidR="00D628B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carried out a book look, reviewed wall displays</w:t>
            </w:r>
            <w:r w:rsidR="009C471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, </w:t>
            </w:r>
            <w:r w:rsidR="00D628B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spoke to the ch</w:t>
            </w:r>
            <w:r w:rsidR="009C471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ildren for pupil voice and to staff.</w:t>
            </w:r>
            <w:r w:rsidR="00A27417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Rev Mandy concluded that the teaching throughout the school built on prior knowledge</w:t>
            </w:r>
            <w:r w:rsidR="007A3B2B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and that the children demonstrated their knowledge of key concepts and </w:t>
            </w:r>
            <w:r w:rsidR="002627F1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theological terms. Rev. Mandy was also keen to </w:t>
            </w:r>
            <w:r w:rsidR="00DF3FA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point out the school’s attention to the teaching of values</w:t>
            </w:r>
            <w:r w:rsidR="00AA78A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and character education</w:t>
            </w:r>
            <w:r w:rsidR="00DF3FA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through </w:t>
            </w:r>
            <w:r w:rsidR="00AA78A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th</w:t>
            </w:r>
            <w:r w:rsidR="003A71E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 teaching of</w:t>
            </w:r>
            <w:r w:rsidR="00AA78A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</w:t>
            </w:r>
            <w:r w:rsidR="00DF3FA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RE and PSHE.</w:t>
            </w:r>
          </w:p>
          <w:p w14:paraId="4FAB0657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587877F6" w14:textId="77777777" w:rsidR="001E56ED" w:rsidRDefault="001E56ED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F1F24A0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18CCF2F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9924D8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CB5967A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D5A9D03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8465BFF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E4432A8" w14:textId="77777777" w:rsidR="0024411F" w:rsidRPr="00D93113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38FE39AC" w14:textId="77777777" w:rsidR="00511200" w:rsidRDefault="00511200" w:rsidP="00511200"/>
    <w:p w14:paraId="0BF75CE5" w14:textId="77777777" w:rsidR="00511200" w:rsidRDefault="00511200" w:rsidP="00511200"/>
    <w:p w14:paraId="2BB375C4" w14:textId="77777777" w:rsidR="00C94A73" w:rsidRDefault="00C94A73"/>
    <w:sectPr w:rsidR="00C94A73" w:rsidSect="00B12C4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0445" w14:textId="77777777" w:rsidR="0025451A" w:rsidRDefault="0025451A" w:rsidP="003D0C7D">
      <w:pPr>
        <w:spacing w:after="0" w:line="240" w:lineRule="auto"/>
      </w:pPr>
      <w:r>
        <w:separator/>
      </w:r>
    </w:p>
  </w:endnote>
  <w:endnote w:type="continuationSeparator" w:id="0">
    <w:p w14:paraId="5DA2C887" w14:textId="77777777" w:rsidR="0025451A" w:rsidRDefault="0025451A" w:rsidP="003D0C7D">
      <w:pPr>
        <w:spacing w:after="0" w:line="240" w:lineRule="auto"/>
      </w:pPr>
      <w:r>
        <w:continuationSeparator/>
      </w:r>
    </w:p>
  </w:endnote>
  <w:endnote w:type="continuationNotice" w:id="1">
    <w:p w14:paraId="4E45265C" w14:textId="77777777" w:rsidR="0025451A" w:rsidRDefault="00254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6A67" w14:textId="77777777" w:rsidR="0025451A" w:rsidRDefault="0025451A" w:rsidP="003D0C7D">
      <w:pPr>
        <w:spacing w:after="0" w:line="240" w:lineRule="auto"/>
      </w:pPr>
      <w:r>
        <w:separator/>
      </w:r>
    </w:p>
  </w:footnote>
  <w:footnote w:type="continuationSeparator" w:id="0">
    <w:p w14:paraId="58DDF641" w14:textId="77777777" w:rsidR="0025451A" w:rsidRDefault="0025451A" w:rsidP="003D0C7D">
      <w:pPr>
        <w:spacing w:after="0" w:line="240" w:lineRule="auto"/>
      </w:pPr>
      <w:r>
        <w:continuationSeparator/>
      </w:r>
    </w:p>
  </w:footnote>
  <w:footnote w:type="continuationNotice" w:id="1">
    <w:p w14:paraId="7FE86389" w14:textId="77777777" w:rsidR="0025451A" w:rsidRDefault="00254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62B3" w14:textId="77777777" w:rsidR="003D0C7D" w:rsidRDefault="003D0C7D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EDE8810" wp14:editId="5A169F2F">
          <wp:simplePos x="0" y="0"/>
          <wp:positionH relativeFrom="column">
            <wp:posOffset>7200900</wp:posOffset>
          </wp:positionH>
          <wp:positionV relativeFrom="paragraph">
            <wp:posOffset>-105410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809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0523CF"/>
    <w:rsid w:val="00071F51"/>
    <w:rsid w:val="000C0F2A"/>
    <w:rsid w:val="00132CEA"/>
    <w:rsid w:val="00162A14"/>
    <w:rsid w:val="00176F37"/>
    <w:rsid w:val="001B1654"/>
    <w:rsid w:val="001D5074"/>
    <w:rsid w:val="001D6324"/>
    <w:rsid w:val="001E56ED"/>
    <w:rsid w:val="001F0B51"/>
    <w:rsid w:val="001F1835"/>
    <w:rsid w:val="00222939"/>
    <w:rsid w:val="00227780"/>
    <w:rsid w:val="0024411F"/>
    <w:rsid w:val="0025451A"/>
    <w:rsid w:val="0026075B"/>
    <w:rsid w:val="002627F1"/>
    <w:rsid w:val="002A3D7C"/>
    <w:rsid w:val="002A4113"/>
    <w:rsid w:val="002D11C7"/>
    <w:rsid w:val="002E6715"/>
    <w:rsid w:val="002F1BB3"/>
    <w:rsid w:val="003339B5"/>
    <w:rsid w:val="00376033"/>
    <w:rsid w:val="00377587"/>
    <w:rsid w:val="003A71EE"/>
    <w:rsid w:val="003D0C7D"/>
    <w:rsid w:val="00400809"/>
    <w:rsid w:val="00406FBB"/>
    <w:rsid w:val="00420DCA"/>
    <w:rsid w:val="0042281B"/>
    <w:rsid w:val="00424F54"/>
    <w:rsid w:val="00454CA4"/>
    <w:rsid w:val="00486085"/>
    <w:rsid w:val="00492AD5"/>
    <w:rsid w:val="004943EC"/>
    <w:rsid w:val="004A1072"/>
    <w:rsid w:val="004B4369"/>
    <w:rsid w:val="004C707C"/>
    <w:rsid w:val="004E6C0B"/>
    <w:rsid w:val="004F531A"/>
    <w:rsid w:val="00507344"/>
    <w:rsid w:val="00511200"/>
    <w:rsid w:val="00517FF9"/>
    <w:rsid w:val="00570869"/>
    <w:rsid w:val="005803B1"/>
    <w:rsid w:val="005B49BA"/>
    <w:rsid w:val="005F24F2"/>
    <w:rsid w:val="00600916"/>
    <w:rsid w:val="00615F3E"/>
    <w:rsid w:val="0061718B"/>
    <w:rsid w:val="00630504"/>
    <w:rsid w:val="00634008"/>
    <w:rsid w:val="0064083D"/>
    <w:rsid w:val="00685D84"/>
    <w:rsid w:val="00691976"/>
    <w:rsid w:val="00694E1D"/>
    <w:rsid w:val="00696C84"/>
    <w:rsid w:val="006A3258"/>
    <w:rsid w:val="006A66E2"/>
    <w:rsid w:val="006F2530"/>
    <w:rsid w:val="007218D2"/>
    <w:rsid w:val="007233B5"/>
    <w:rsid w:val="00762D44"/>
    <w:rsid w:val="0076641F"/>
    <w:rsid w:val="0077193D"/>
    <w:rsid w:val="007771AE"/>
    <w:rsid w:val="00794B22"/>
    <w:rsid w:val="007A0064"/>
    <w:rsid w:val="007A3B2B"/>
    <w:rsid w:val="007C436A"/>
    <w:rsid w:val="00822AAD"/>
    <w:rsid w:val="00827B5A"/>
    <w:rsid w:val="008600DB"/>
    <w:rsid w:val="00866CB7"/>
    <w:rsid w:val="008A3B30"/>
    <w:rsid w:val="008F26DB"/>
    <w:rsid w:val="008F5ADF"/>
    <w:rsid w:val="008F5F27"/>
    <w:rsid w:val="00985905"/>
    <w:rsid w:val="009B4243"/>
    <w:rsid w:val="009B78FB"/>
    <w:rsid w:val="009C4713"/>
    <w:rsid w:val="009D2BDF"/>
    <w:rsid w:val="009D6F0C"/>
    <w:rsid w:val="009E7BD6"/>
    <w:rsid w:val="009F385C"/>
    <w:rsid w:val="00A05408"/>
    <w:rsid w:val="00A27417"/>
    <w:rsid w:val="00A35C25"/>
    <w:rsid w:val="00A56A64"/>
    <w:rsid w:val="00A60B48"/>
    <w:rsid w:val="00A855C3"/>
    <w:rsid w:val="00A9770F"/>
    <w:rsid w:val="00AA78A3"/>
    <w:rsid w:val="00AE2DB7"/>
    <w:rsid w:val="00B07823"/>
    <w:rsid w:val="00B32BC1"/>
    <w:rsid w:val="00B456C8"/>
    <w:rsid w:val="00B50803"/>
    <w:rsid w:val="00BA7C29"/>
    <w:rsid w:val="00BC25E7"/>
    <w:rsid w:val="00BC54C5"/>
    <w:rsid w:val="00C109B1"/>
    <w:rsid w:val="00C17654"/>
    <w:rsid w:val="00C21937"/>
    <w:rsid w:val="00C44386"/>
    <w:rsid w:val="00C94A73"/>
    <w:rsid w:val="00CC4E4A"/>
    <w:rsid w:val="00CE6902"/>
    <w:rsid w:val="00D103C5"/>
    <w:rsid w:val="00D31998"/>
    <w:rsid w:val="00D628BF"/>
    <w:rsid w:val="00D62C23"/>
    <w:rsid w:val="00DA1B2B"/>
    <w:rsid w:val="00DA1D77"/>
    <w:rsid w:val="00DB2D26"/>
    <w:rsid w:val="00DD5AA6"/>
    <w:rsid w:val="00DF3FAE"/>
    <w:rsid w:val="00E023C3"/>
    <w:rsid w:val="00E32264"/>
    <w:rsid w:val="00E61C50"/>
    <w:rsid w:val="00EA6A51"/>
    <w:rsid w:val="00EA7612"/>
    <w:rsid w:val="00ED66A3"/>
    <w:rsid w:val="00EE4DF7"/>
    <w:rsid w:val="00F056ED"/>
    <w:rsid w:val="00F17A5E"/>
    <w:rsid w:val="00F26D22"/>
    <w:rsid w:val="00F33BB3"/>
    <w:rsid w:val="00F6132F"/>
    <w:rsid w:val="00FB7AB2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70EC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paragraph" w:styleId="Heading1">
    <w:name w:val="heading 1"/>
    <w:basedOn w:val="Normal"/>
    <w:next w:val="Normal"/>
    <w:link w:val="Heading1Char"/>
    <w:uiPriority w:val="9"/>
    <w:qFormat/>
    <w:rsid w:val="00D103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0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7D"/>
  </w:style>
  <w:style w:type="paragraph" w:styleId="Footer">
    <w:name w:val="footer"/>
    <w:basedOn w:val="Normal"/>
    <w:link w:val="Foot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44230-2203-47B3-B0D9-84D36CB9D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82E2D-A394-4E14-8169-747164A76D4F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3.xml><?xml version="1.0" encoding="utf-8"?>
<ds:datastoreItem xmlns:ds="http://schemas.openxmlformats.org/officeDocument/2006/customXml" ds:itemID="{B9D3E028-8391-41EA-8982-72C92BBC9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Angie Fitzpatrick</cp:lastModifiedBy>
  <cp:revision>29</cp:revision>
  <cp:lastPrinted>2022-11-23T12:49:00Z</cp:lastPrinted>
  <dcterms:created xsi:type="dcterms:W3CDTF">2023-09-20T14:39:00Z</dcterms:created>
  <dcterms:modified xsi:type="dcterms:W3CDTF">2024-10-15T20:46:00Z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Order">
    <vt:r8>124600</vt:r8>
  </property>
  <property fmtid="{D5CDD505-2E9C-101B-9397-08002B2CF9AE}" pid="4" name="MediaServiceImageTags">
    <vt:lpwstr/>
  </property>
</Properties>
</file>