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050AAC82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0588AFA7" w14:textId="77777777" w:rsidR="00085DDC" w:rsidRDefault="00085DDC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04563F34" w:rsidR="00511200" w:rsidRPr="00AF5090" w:rsidRDefault="00D251F3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Art and DT</w:t>
      </w:r>
      <w:r w:rsidR="00511200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709"/>
        <w:gridCol w:w="880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4F531A">
        <w:tc>
          <w:tcPr>
            <w:tcW w:w="5524" w:type="dxa"/>
            <w:gridSpan w:val="5"/>
            <w:shd w:val="clear" w:color="auto" w:fill="auto"/>
          </w:tcPr>
          <w:p w14:paraId="585A62A1" w14:textId="77777777" w:rsidR="00511200" w:rsidRPr="00CC4E4A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7FEC1378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9F385C" w:rsidRPr="009F385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Review teaching and learning of the subject and establish subject knowledge of teachers and any CPD needed</w:t>
            </w:r>
            <w:r w:rsidR="00672B0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  <w:p w14:paraId="136585B0" w14:textId="635057D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04D446A5" w:rsidR="00F17A5E" w:rsidRPr="00600916" w:rsidRDefault="00511200" w:rsidP="00F17A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Understand how disadvantaged and low attaining pupils</w:t>
            </w:r>
            <w:r w:rsidR="00344FC5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are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performing in relation to their peers</w:t>
            </w:r>
            <w:r w:rsidR="000829A3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</w:t>
            </w:r>
          </w:p>
          <w:p w14:paraId="1719F414" w14:textId="1EB3DC21" w:rsidR="00CC4E4A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4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Know how </w:t>
            </w:r>
            <w:r w:rsidR="0063610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character education is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being developed through </w:t>
            </w:r>
            <w:r w:rsidR="00035DA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Art</w:t>
            </w:r>
            <w:r w:rsidR="00672B0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  <w:p w14:paraId="0819BA9D" w14:textId="7295082F" w:rsidR="004F531A" w:rsidRDefault="004F531A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4F531A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5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D2449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K</w:t>
            </w:r>
            <w:r w:rsidR="00035DA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nowledge of great artists, craft makers and designers, and understand the historical and cultural development of their art forms.</w:t>
            </w:r>
          </w:p>
          <w:p w14:paraId="0D8EF7F1" w14:textId="15F8E299" w:rsidR="00D251F3" w:rsidRPr="00CC4E4A" w:rsidRDefault="00D251F3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57" w:type="dxa"/>
            <w:gridSpan w:val="3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56420A66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77F60717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61F806F1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Lead person</w:t>
            </w:r>
            <w:r w:rsidR="00D96ECF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accountable for the plan:</w:t>
            </w:r>
            <w:r w:rsidR="00D96ECF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</w:t>
            </w:r>
            <w:r w:rsidR="00035DA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s </w:t>
            </w:r>
            <w:r w:rsidR="000B2CC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 </w:t>
            </w:r>
            <w:r w:rsidR="00035DA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Birch and Mrs</w:t>
            </w:r>
            <w:r w:rsidR="000B2CC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K</w:t>
            </w:r>
            <w:r w:rsidR="00035DA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Weingaertner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68A3B5EE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 to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be able to demonstrate increased knowledge and understanding of art and design.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41054436" w14:textId="602DE811" w:rsidR="00511200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increasingly confiden</w:t>
            </w:r>
            <w:r w:rsidR="00344F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evaluate their work using the correct vocabulary.</w:t>
            </w:r>
          </w:p>
          <w:p w14:paraId="2647A508" w14:textId="17D793F9" w:rsidR="00D2449E" w:rsidRPr="00CC4E4A" w:rsidRDefault="00D2449E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Teachers to cover all the skills set out in the progression document.</w:t>
            </w:r>
          </w:p>
          <w:p w14:paraId="765A9BB3" w14:textId="77777777" w:rsidR="00CC4E4A" w:rsidRPr="00D2449E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 on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art and D.T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14:paraId="698FA670" w14:textId="78BB53B8" w:rsidR="00D2449E" w:rsidRPr="004F531A" w:rsidRDefault="00D2449E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  <w:t>Children’s art and design to be celebrated each year by a whole school art show.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631A0B11" w:rsidR="00511200" w:rsidRPr="000523CF" w:rsidRDefault="009F385C" w:rsidP="002F1B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Review teaching and learning of the subject and establish</w:t>
            </w:r>
            <w:r w:rsidR="008F26D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subject knowledge </w:t>
            </w: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of teachers</w:t>
            </w:r>
            <w:r w:rsidR="008F5F27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and any CPD needed</w:t>
            </w:r>
            <w:r w:rsidR="00FC76A8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77389DAD" w:rsidR="00511200" w:rsidRPr="00CC4E4A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Lesson observations, pupil voice</w:t>
            </w:r>
            <w:r w:rsidR="00E61C50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, staff meetings</w:t>
            </w:r>
            <w:r w:rsidR="00FC76A8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4DC18725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0523CF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0523CF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5205DA7A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Book looks to be carried out each term</w:t>
            </w:r>
            <w:r w:rsidR="00FC76A8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6D757E13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4EAE993B" w:rsidR="0024411F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Understand how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disadvantaged 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and</w:t>
            </w:r>
            <w:r w:rsidR="00D31998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low attaining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pupils</w:t>
            </w:r>
            <w:r w:rsidR="00344FC5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are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</w:t>
            </w:r>
            <w:r w:rsidR="0061718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performing </w:t>
            </w:r>
            <w:r w:rsidR="001F1835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in relation to their peers</w:t>
            </w:r>
            <w:r w:rsidR="007B11DA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59B5210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Subject team to </w:t>
            </w:r>
            <w:r w:rsidR="0026075B"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carry out book look and pupil voice of those from disadvantage</w:t>
            </w:r>
            <w:r w:rsidR="00344FC5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d</w:t>
            </w:r>
            <w:r w:rsidR="0026075B"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 backgrounds</w:t>
            </w:r>
            <w:r w:rsidR="00E61C50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/low attainers</w:t>
            </w:r>
            <w:r w:rsidR="00FC76A8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677A956C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54A04CA4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  <w:p w14:paraId="07D5639E" w14:textId="3D12CABD" w:rsidR="00113DC3" w:rsidRPr="00CC4E4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Possible gallery trip for key stage two.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7927641D" w:rsidR="00BA7C29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Know h</w:t>
            </w:r>
            <w:r w:rsidR="002A411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ow character</w:t>
            </w:r>
            <w:r w:rsidR="00344FC5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education is</w:t>
            </w:r>
            <w:r w:rsidR="002A411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being developed through </w:t>
            </w:r>
            <w:r w:rsidR="00D2449E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Art</w:t>
            </w:r>
            <w:r w:rsidR="00FC76A8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249901AB" w:rsidR="00BA7C29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Monitor planning, and teaching of vocabulary </w:t>
            </w:r>
            <w:r w:rsidR="00FE0A8A"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to see impact of character within </w:t>
            </w:r>
            <w:r w:rsidR="00D2449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Art.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2DA13B27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38AFDC04" w:rsidR="00BA7C29" w:rsidRPr="00CC4E4A" w:rsidRDefault="00113DC3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Pupil voice.</w:t>
            </w:r>
          </w:p>
        </w:tc>
        <w:tc>
          <w:tcPr>
            <w:tcW w:w="2588" w:type="dxa"/>
            <w:shd w:val="clear" w:color="auto" w:fill="auto"/>
          </w:tcPr>
          <w:p w14:paraId="2F165B47" w14:textId="547D12D4" w:rsidR="00BA7C29" w:rsidRPr="00CC4E4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</w:t>
            </w:r>
          </w:p>
        </w:tc>
      </w:tr>
      <w:tr w:rsidR="00827B5A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0C0A2702" w:rsidR="00827B5A" w:rsidRPr="000523CF" w:rsidRDefault="00D2449E" w:rsidP="004F531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Knowledge of a range of great artists, craft makers and designers/ photographers and understand the historical and cultural development of their art forms.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07205373" w14:textId="5657F5C9" w:rsidR="00827B5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Quality of teachers’ planning, use of resources and meaningful assessment.</w:t>
            </w:r>
          </w:p>
          <w:p w14:paraId="7498421F" w14:textId="5FFD64EE" w:rsidR="00113DC3" w:rsidRPr="00FE0A8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Increased displays of children’s artwork around the school.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102D883D" w14:textId="0DEC829C" w:rsidR="00827B5A" w:rsidRPr="00CC4E4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DD05212" w14:textId="33D1C5D1" w:rsidR="00827B5A" w:rsidRPr="00CC4E4A" w:rsidRDefault="00113DC3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Staff meetings</w:t>
            </w:r>
          </w:p>
        </w:tc>
        <w:tc>
          <w:tcPr>
            <w:tcW w:w="2588" w:type="dxa"/>
            <w:shd w:val="clear" w:color="auto" w:fill="auto"/>
          </w:tcPr>
          <w:p w14:paraId="7BE94212" w14:textId="1928EE57" w:rsidR="00827B5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</w:t>
            </w: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222F6E21" w:rsidR="00511200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Subject governor</w:t>
            </w:r>
          </w:p>
          <w:p w14:paraId="10A09FE3" w14:textId="7EC15BBE" w:rsidR="00113DC3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Subject leads</w:t>
            </w: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5C98F2F9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</w:t>
            </w:r>
            <w:r w:rsidR="00113DC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art and design 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27DB14E1" w14:textId="296EDCCD" w:rsidR="00511200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T</w:t>
            </w:r>
            <w:r w:rsidR="00511200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er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mly</w:t>
            </w:r>
          </w:p>
          <w:p w14:paraId="7DA6D668" w14:textId="77777777" w:rsidR="00113DC3" w:rsidRDefault="00792A26" w:rsidP="00792A26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Pupil interviews</w:t>
            </w:r>
          </w:p>
          <w:p w14:paraId="01EADE9F" w14:textId="77777777" w:rsidR="00792A26" w:rsidRDefault="00792A26" w:rsidP="00792A26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Book looks</w:t>
            </w:r>
          </w:p>
          <w:p w14:paraId="564209D3" w14:textId="26F5E453" w:rsidR="00792A26" w:rsidRPr="00792A26" w:rsidRDefault="00792A26" w:rsidP="00792A26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Work samples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3DF658B" w:rsidR="00511200" w:rsidRPr="00D93113" w:rsidRDefault="00792A26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Collate evidence of impact in monitoring folder.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27179B3C" w14:textId="1A84ED34" w:rsidR="0024411F" w:rsidRDefault="00511200" w:rsidP="004A7D06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Evaluation against success criteri</w:t>
            </w:r>
            <w:r w:rsidR="00DE4BAE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a</w:t>
            </w:r>
          </w:p>
          <w:p w14:paraId="453B9B73" w14:textId="77777777" w:rsidR="00DE4BAE" w:rsidRPr="004A7D06" w:rsidRDefault="00DE4BAE" w:rsidP="004A7D06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</w:p>
          <w:p w14:paraId="3BA2C605" w14:textId="3364DDDA" w:rsidR="00FF5EF9" w:rsidRDefault="00595781" w:rsidP="00CF2CFD">
            <w:pPr>
              <w:pStyle w:val="ListParagraph"/>
              <w:numPr>
                <w:ilvl w:val="0"/>
                <w:numId w:val="4"/>
              </w:num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</w:t>
            </w:r>
            <w:r w:rsidR="00FF5EF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deep dive of art</w:t>
            </w:r>
            <w:r w:rsidR="003162C2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/DT</w:t>
            </w:r>
            <w:r w:rsidR="00FF5EF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across the school was carried out at the end of July 2022</w:t>
            </w:r>
            <w:r w:rsidR="00820A8C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, between Sally </w:t>
            </w:r>
            <w:proofErr w:type="spellStart"/>
            <w:r w:rsidR="00820A8C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Elbra</w:t>
            </w:r>
            <w:proofErr w:type="spellEnd"/>
            <w:r w:rsidR="005B59E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</w:t>
            </w:r>
            <w:r w:rsidR="00417A8D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(previous art lead) </w:t>
            </w:r>
            <w:r w:rsidR="00820A8C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and the </w:t>
            </w:r>
            <w:r w:rsidR="00EC436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Governor responsible for art Ms Sally Jones</w:t>
            </w:r>
            <w:r w:rsidR="00A13336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. Ms Jones was</w:t>
            </w:r>
            <w:r w:rsidR="00A87F2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</w:t>
            </w:r>
            <w:r w:rsidR="001D7CE7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impressed</w:t>
            </w:r>
            <w:r w:rsidR="0017135A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by the wide range of </w:t>
            </w:r>
            <w:r w:rsidR="006A69A1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artistic skills being taught around the school</w:t>
            </w:r>
            <w:r w:rsidR="00504D26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, the focus on great artists, and </w:t>
            </w:r>
            <w:r w:rsidR="001B21C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the displays she saw.</w:t>
            </w:r>
          </w:p>
          <w:p w14:paraId="42AC7D97" w14:textId="6F920CF6" w:rsidR="006613E4" w:rsidRPr="00CF2CFD" w:rsidRDefault="006613E4" w:rsidP="00CF2CFD">
            <w:pPr>
              <w:pStyle w:val="ListParagraph"/>
              <w:numPr>
                <w:ilvl w:val="0"/>
                <w:numId w:val="4"/>
              </w:num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 whole school</w:t>
            </w:r>
            <w:r w:rsidR="00694606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art</w:t>
            </w:r>
            <w:r w:rsidR="00300070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/DT</w:t>
            </w:r>
            <w:r w:rsidR="00694606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display was planned for the last week in July</w:t>
            </w:r>
            <w:r w:rsidR="002C377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.  This had to be cancelled </w:t>
            </w:r>
            <w:r w:rsidR="00E02E67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due to </w:t>
            </w:r>
            <w:r w:rsidR="00F8681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extreme weather conditions</w:t>
            </w:r>
            <w:r w:rsidR="00044A4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which lead to most of the children leaving school at lunchtime.</w:t>
            </w: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AB7" w14:textId="77777777" w:rsidR="003D0C7D" w:rsidRDefault="003D0C7D" w:rsidP="003D0C7D">
      <w:pPr>
        <w:spacing w:after="0" w:line="240" w:lineRule="auto"/>
      </w:pPr>
      <w:r>
        <w:separator/>
      </w:r>
    </w:p>
  </w:endnote>
  <w:endnote w:type="continuationSeparator" w:id="0">
    <w:p w14:paraId="2A01730E" w14:textId="77777777" w:rsidR="003D0C7D" w:rsidRDefault="003D0C7D" w:rsidP="003D0C7D">
      <w:pPr>
        <w:spacing w:after="0" w:line="240" w:lineRule="auto"/>
      </w:pPr>
      <w:r>
        <w:continuationSeparator/>
      </w:r>
    </w:p>
  </w:endnote>
  <w:endnote w:type="continuationNotice" w:id="1">
    <w:p w14:paraId="6E77A60E" w14:textId="77777777" w:rsidR="00F056ED" w:rsidRDefault="00F0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713E" w14:textId="77777777" w:rsidR="003D0C7D" w:rsidRDefault="003D0C7D" w:rsidP="003D0C7D">
      <w:pPr>
        <w:spacing w:after="0" w:line="240" w:lineRule="auto"/>
      </w:pPr>
      <w:r>
        <w:separator/>
      </w:r>
    </w:p>
  </w:footnote>
  <w:footnote w:type="continuationSeparator" w:id="0">
    <w:p w14:paraId="1016DB3F" w14:textId="77777777" w:rsidR="003D0C7D" w:rsidRDefault="003D0C7D" w:rsidP="003D0C7D">
      <w:pPr>
        <w:spacing w:after="0" w:line="240" w:lineRule="auto"/>
      </w:pPr>
      <w:r>
        <w:continuationSeparator/>
      </w:r>
    </w:p>
  </w:footnote>
  <w:footnote w:type="continuationNotice" w:id="1">
    <w:p w14:paraId="794D3BA9" w14:textId="77777777" w:rsidR="00F056ED" w:rsidRDefault="00F05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43D"/>
    <w:multiLevelType w:val="hybridMultilevel"/>
    <w:tmpl w:val="F816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869D1"/>
    <w:multiLevelType w:val="hybridMultilevel"/>
    <w:tmpl w:val="7382A8B0"/>
    <w:lvl w:ilvl="0" w:tplc="4AA87B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B12BE"/>
    <w:multiLevelType w:val="hybridMultilevel"/>
    <w:tmpl w:val="71C2B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26FC8"/>
    <w:rsid w:val="00035DA4"/>
    <w:rsid w:val="00044A49"/>
    <w:rsid w:val="000523CF"/>
    <w:rsid w:val="00071F51"/>
    <w:rsid w:val="000829A3"/>
    <w:rsid w:val="00085DDC"/>
    <w:rsid w:val="000B2CC4"/>
    <w:rsid w:val="00113DC3"/>
    <w:rsid w:val="00132CEA"/>
    <w:rsid w:val="00162A14"/>
    <w:rsid w:val="0017135A"/>
    <w:rsid w:val="001B1654"/>
    <w:rsid w:val="001B21CF"/>
    <w:rsid w:val="001D7CE7"/>
    <w:rsid w:val="001F1835"/>
    <w:rsid w:val="0024411F"/>
    <w:rsid w:val="0026075B"/>
    <w:rsid w:val="002A4113"/>
    <w:rsid w:val="002C3779"/>
    <w:rsid w:val="002E6715"/>
    <w:rsid w:val="002F1BB3"/>
    <w:rsid w:val="00300070"/>
    <w:rsid w:val="003162C2"/>
    <w:rsid w:val="00344FC5"/>
    <w:rsid w:val="003D0C7D"/>
    <w:rsid w:val="003E14EE"/>
    <w:rsid w:val="00414313"/>
    <w:rsid w:val="00417A8D"/>
    <w:rsid w:val="00420DCA"/>
    <w:rsid w:val="00486085"/>
    <w:rsid w:val="004A7D06"/>
    <w:rsid w:val="004C707C"/>
    <w:rsid w:val="004E6C0B"/>
    <w:rsid w:val="004F531A"/>
    <w:rsid w:val="00504D26"/>
    <w:rsid w:val="00511200"/>
    <w:rsid w:val="00570869"/>
    <w:rsid w:val="00572A49"/>
    <w:rsid w:val="00595781"/>
    <w:rsid w:val="005B59EF"/>
    <w:rsid w:val="005F7269"/>
    <w:rsid w:val="00600916"/>
    <w:rsid w:val="00615F3E"/>
    <w:rsid w:val="0061718B"/>
    <w:rsid w:val="00636105"/>
    <w:rsid w:val="006613E4"/>
    <w:rsid w:val="00672B0B"/>
    <w:rsid w:val="00694606"/>
    <w:rsid w:val="00696C84"/>
    <w:rsid w:val="006A69A1"/>
    <w:rsid w:val="006F2530"/>
    <w:rsid w:val="007372E5"/>
    <w:rsid w:val="0076641F"/>
    <w:rsid w:val="0077193D"/>
    <w:rsid w:val="00792A26"/>
    <w:rsid w:val="007B11DA"/>
    <w:rsid w:val="00820A8C"/>
    <w:rsid w:val="00822AAD"/>
    <w:rsid w:val="00827B5A"/>
    <w:rsid w:val="00866CB7"/>
    <w:rsid w:val="008F26DB"/>
    <w:rsid w:val="008F5F27"/>
    <w:rsid w:val="009D6F0C"/>
    <w:rsid w:val="009F385C"/>
    <w:rsid w:val="00A13336"/>
    <w:rsid w:val="00A531CB"/>
    <w:rsid w:val="00A855C3"/>
    <w:rsid w:val="00A87F2F"/>
    <w:rsid w:val="00BA7C29"/>
    <w:rsid w:val="00C72CA7"/>
    <w:rsid w:val="00C94A73"/>
    <w:rsid w:val="00CC4E4A"/>
    <w:rsid w:val="00CF2CFD"/>
    <w:rsid w:val="00D103C5"/>
    <w:rsid w:val="00D2449E"/>
    <w:rsid w:val="00D251F3"/>
    <w:rsid w:val="00D31998"/>
    <w:rsid w:val="00D96ECF"/>
    <w:rsid w:val="00DE4BAE"/>
    <w:rsid w:val="00E023C3"/>
    <w:rsid w:val="00E02E67"/>
    <w:rsid w:val="00E61C50"/>
    <w:rsid w:val="00EB6C5B"/>
    <w:rsid w:val="00EC4369"/>
    <w:rsid w:val="00ED66A3"/>
    <w:rsid w:val="00F056ED"/>
    <w:rsid w:val="00F17A5E"/>
    <w:rsid w:val="00F6132F"/>
    <w:rsid w:val="00F86813"/>
    <w:rsid w:val="00FC76A8"/>
    <w:rsid w:val="00FE0A8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  <SharedWithUsers xmlns="11da0286-8c78-4677-ac8a-4be837d8e308">
      <UserInfo>
        <DisplayName>Katrina Weingaertner</DisplayName>
        <AccountId>60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6" ma:contentTypeDescription="Create a new document." ma:contentTypeScope="" ma:versionID="ea19c39246a376b9e200cb684722210b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c8acc0fe3ce3abb5f9591d27e5a37782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8F4C990B-02B0-4563-B6AD-60A4158D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Amanda Marshall</cp:lastModifiedBy>
  <cp:revision>2</cp:revision>
  <cp:lastPrinted>2022-12-06T16:10:00Z</cp:lastPrinted>
  <dcterms:created xsi:type="dcterms:W3CDTF">2022-12-07T18:48:00Z</dcterms:created>
  <dcterms:modified xsi:type="dcterms:W3CDTF">2022-12-07T18:48:00Z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