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57E5" w14:textId="77777777" w:rsidR="000D2D02" w:rsidRDefault="000D2D02" w:rsidP="000D2D02">
      <w:pPr>
        <w:jc w:val="center"/>
      </w:pPr>
    </w:p>
    <w:p w14:paraId="0ED69C00" w14:textId="77777777" w:rsidR="00E548EF" w:rsidRPr="00E548EF" w:rsidRDefault="00E548EF" w:rsidP="00E548EF">
      <w:pPr>
        <w:tabs>
          <w:tab w:val="left" w:pos="750"/>
        </w:tabs>
        <w:rPr>
          <w:b/>
          <w:sz w:val="16"/>
        </w:rPr>
      </w:pPr>
      <w:r>
        <w:rPr>
          <w:b/>
          <w:sz w:val="32"/>
        </w:rPr>
        <w:tab/>
      </w:r>
    </w:p>
    <w:p w14:paraId="5A2B5B21" w14:textId="77777777" w:rsidR="00CD1073" w:rsidRPr="00AC37C7" w:rsidRDefault="000D2D02" w:rsidP="00E548EF">
      <w:pPr>
        <w:tabs>
          <w:tab w:val="left" w:pos="750"/>
        </w:tabs>
        <w:jc w:val="center"/>
        <w:rPr>
          <w:rFonts w:ascii="Arial" w:hAnsi="Arial" w:cs="Arial"/>
          <w:b/>
          <w:sz w:val="32"/>
        </w:rPr>
      </w:pPr>
      <w:r w:rsidRPr="00AC37C7">
        <w:rPr>
          <w:rFonts w:ascii="Arial" w:hAnsi="Arial" w:cs="Arial"/>
          <w:b/>
          <w:sz w:val="32"/>
        </w:rPr>
        <w:t>Interventions Offer</w:t>
      </w:r>
    </w:p>
    <w:p w14:paraId="4C53E47E" w14:textId="77777777" w:rsidR="000D2D02" w:rsidRPr="00AC37C7" w:rsidRDefault="000D2D02" w:rsidP="000D2D02">
      <w:pPr>
        <w:jc w:val="center"/>
        <w:rPr>
          <w:rFonts w:ascii="Arial" w:hAnsi="Arial" w:cs="Arial"/>
        </w:rPr>
      </w:pPr>
      <w:r w:rsidRPr="00AC37C7">
        <w:rPr>
          <w:rFonts w:ascii="Arial" w:hAnsi="Arial" w:cs="Arial"/>
        </w:rPr>
        <w:t>2020-21</w:t>
      </w:r>
    </w:p>
    <w:tbl>
      <w:tblPr>
        <w:tblStyle w:val="TableGrid"/>
        <w:tblW w:w="0" w:type="auto"/>
        <w:tblLook w:val="04A0" w:firstRow="1" w:lastRow="0" w:firstColumn="1" w:lastColumn="0" w:noHBand="0" w:noVBand="1"/>
      </w:tblPr>
      <w:tblGrid>
        <w:gridCol w:w="2263"/>
        <w:gridCol w:w="6521"/>
        <w:gridCol w:w="1984"/>
      </w:tblGrid>
      <w:tr w:rsidR="00E8709C" w:rsidRPr="00AC37C7" w14:paraId="2961C861" w14:textId="77777777" w:rsidTr="000D2D02">
        <w:trPr>
          <w:trHeight w:val="497"/>
        </w:trPr>
        <w:tc>
          <w:tcPr>
            <w:tcW w:w="2263" w:type="dxa"/>
            <w:shd w:val="clear" w:color="auto" w:fill="A8D08D" w:themeFill="accent6" w:themeFillTint="99"/>
            <w:vAlign w:val="center"/>
          </w:tcPr>
          <w:p w14:paraId="49719801" w14:textId="77777777" w:rsidR="000D2D02" w:rsidRPr="00AC37C7" w:rsidRDefault="000D2D02" w:rsidP="000D2D02">
            <w:pPr>
              <w:jc w:val="center"/>
              <w:rPr>
                <w:rFonts w:ascii="Arial" w:hAnsi="Arial" w:cs="Arial"/>
                <w:b/>
                <w:sz w:val="24"/>
                <w:szCs w:val="24"/>
              </w:rPr>
            </w:pPr>
            <w:r w:rsidRPr="00AC37C7">
              <w:rPr>
                <w:rFonts w:ascii="Arial" w:hAnsi="Arial" w:cs="Arial"/>
                <w:b/>
                <w:sz w:val="24"/>
                <w:szCs w:val="24"/>
              </w:rPr>
              <w:t>Intervention Name</w:t>
            </w:r>
          </w:p>
        </w:tc>
        <w:tc>
          <w:tcPr>
            <w:tcW w:w="6521" w:type="dxa"/>
            <w:shd w:val="clear" w:color="auto" w:fill="A8D08D" w:themeFill="accent6" w:themeFillTint="99"/>
            <w:vAlign w:val="center"/>
          </w:tcPr>
          <w:p w14:paraId="25E13D39" w14:textId="77777777" w:rsidR="000D2D02" w:rsidRPr="00AC37C7" w:rsidRDefault="000D2D02" w:rsidP="000D2D02">
            <w:pPr>
              <w:jc w:val="center"/>
              <w:rPr>
                <w:rFonts w:ascii="Arial" w:hAnsi="Arial" w:cs="Arial"/>
                <w:b/>
                <w:sz w:val="24"/>
                <w:szCs w:val="24"/>
              </w:rPr>
            </w:pPr>
            <w:r w:rsidRPr="00AC37C7">
              <w:rPr>
                <w:rFonts w:ascii="Arial" w:hAnsi="Arial" w:cs="Arial"/>
                <w:b/>
                <w:sz w:val="24"/>
                <w:szCs w:val="24"/>
              </w:rPr>
              <w:t>Description / Aims</w:t>
            </w:r>
          </w:p>
        </w:tc>
        <w:tc>
          <w:tcPr>
            <w:tcW w:w="1984" w:type="dxa"/>
            <w:shd w:val="clear" w:color="auto" w:fill="A8D08D" w:themeFill="accent6" w:themeFillTint="99"/>
            <w:vAlign w:val="center"/>
          </w:tcPr>
          <w:p w14:paraId="4CF68BE6" w14:textId="77777777" w:rsidR="000D2D02" w:rsidRPr="00AC37C7" w:rsidRDefault="000D2D02" w:rsidP="000D2D02">
            <w:pPr>
              <w:jc w:val="center"/>
              <w:rPr>
                <w:rFonts w:ascii="Arial" w:hAnsi="Arial" w:cs="Arial"/>
                <w:b/>
                <w:sz w:val="24"/>
                <w:szCs w:val="24"/>
              </w:rPr>
            </w:pPr>
            <w:r w:rsidRPr="00AC37C7">
              <w:rPr>
                <w:rFonts w:ascii="Arial" w:hAnsi="Arial" w:cs="Arial"/>
                <w:b/>
                <w:sz w:val="24"/>
                <w:szCs w:val="24"/>
              </w:rPr>
              <w:t>Age Range</w:t>
            </w:r>
          </w:p>
        </w:tc>
      </w:tr>
      <w:tr w:rsidR="00E8709C" w:rsidRPr="00AC37C7" w14:paraId="08DC1786" w14:textId="77777777" w:rsidTr="00257AA0">
        <w:tc>
          <w:tcPr>
            <w:tcW w:w="2263" w:type="dxa"/>
            <w:shd w:val="clear" w:color="auto" w:fill="FFFFFF" w:themeFill="background1"/>
            <w:vAlign w:val="center"/>
          </w:tcPr>
          <w:p w14:paraId="2750F234"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Power of 2</w:t>
            </w:r>
          </w:p>
        </w:tc>
        <w:tc>
          <w:tcPr>
            <w:tcW w:w="6521" w:type="dxa"/>
            <w:shd w:val="clear" w:color="auto" w:fill="FFFFFF" w:themeFill="background1"/>
            <w:vAlign w:val="center"/>
          </w:tcPr>
          <w:p w14:paraId="67687ADF" w14:textId="77777777" w:rsidR="000D2D02" w:rsidRPr="00AC37C7" w:rsidRDefault="000D2D02" w:rsidP="00BE22F7">
            <w:pPr>
              <w:rPr>
                <w:rFonts w:ascii="Arial" w:hAnsi="Arial" w:cs="Arial"/>
                <w:sz w:val="24"/>
                <w:szCs w:val="24"/>
              </w:rPr>
            </w:pPr>
            <w:r w:rsidRPr="00AC37C7">
              <w:rPr>
                <w:rFonts w:ascii="Arial" w:hAnsi="Arial" w:cs="Arial"/>
                <w:sz w:val="24"/>
                <w:szCs w:val="24"/>
                <w:shd w:val="clear" w:color="auto" w:fill="FFFFFF"/>
              </w:rPr>
              <w:t>A one-to-one structured maths scheme to support students who have difficulty with number.</w:t>
            </w:r>
          </w:p>
        </w:tc>
        <w:tc>
          <w:tcPr>
            <w:tcW w:w="1984" w:type="dxa"/>
            <w:shd w:val="clear" w:color="auto" w:fill="FFFFFF" w:themeFill="background1"/>
            <w:vAlign w:val="center"/>
          </w:tcPr>
          <w:p w14:paraId="2E3EAFE1"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 xml:space="preserve">8 </w:t>
            </w:r>
            <w:proofErr w:type="spellStart"/>
            <w:r w:rsidRPr="00AC37C7">
              <w:rPr>
                <w:rFonts w:ascii="Arial" w:hAnsi="Arial" w:cs="Arial"/>
                <w:sz w:val="24"/>
                <w:szCs w:val="24"/>
              </w:rPr>
              <w:t>yrs</w:t>
            </w:r>
            <w:proofErr w:type="spellEnd"/>
            <w:r w:rsidRPr="00AC37C7">
              <w:rPr>
                <w:rFonts w:ascii="Arial" w:hAnsi="Arial" w:cs="Arial"/>
                <w:sz w:val="24"/>
                <w:szCs w:val="24"/>
              </w:rPr>
              <w:t xml:space="preserve"> +</w:t>
            </w:r>
          </w:p>
          <w:p w14:paraId="35EE0FAC"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KS2</w:t>
            </w:r>
          </w:p>
        </w:tc>
      </w:tr>
      <w:tr w:rsidR="00E8709C" w:rsidRPr="00AC37C7" w14:paraId="5615C55F" w14:textId="77777777" w:rsidTr="00257AA0">
        <w:tc>
          <w:tcPr>
            <w:tcW w:w="2263" w:type="dxa"/>
            <w:shd w:val="clear" w:color="auto" w:fill="FFFFFF" w:themeFill="background1"/>
            <w:vAlign w:val="center"/>
          </w:tcPr>
          <w:p w14:paraId="7E7F2194"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Lego Therapy</w:t>
            </w:r>
          </w:p>
        </w:tc>
        <w:tc>
          <w:tcPr>
            <w:tcW w:w="6521" w:type="dxa"/>
            <w:shd w:val="clear" w:color="auto" w:fill="FFFFFF" w:themeFill="background1"/>
            <w:vAlign w:val="center"/>
          </w:tcPr>
          <w:p w14:paraId="6E3829EB" w14:textId="77777777" w:rsidR="000D2D02" w:rsidRPr="00AC37C7" w:rsidRDefault="000D2D02" w:rsidP="00BE22F7">
            <w:pPr>
              <w:rPr>
                <w:rFonts w:ascii="Arial" w:hAnsi="Arial" w:cs="Arial"/>
                <w:sz w:val="24"/>
                <w:szCs w:val="24"/>
              </w:rPr>
            </w:pPr>
            <w:r w:rsidRPr="00AC37C7">
              <w:rPr>
                <w:rFonts w:ascii="Arial" w:hAnsi="Arial" w:cs="Arial"/>
                <w:sz w:val="24"/>
                <w:szCs w:val="24"/>
                <w:shd w:val="clear" w:color="auto" w:fill="FFFFFF"/>
              </w:rPr>
              <w:t>Lego® therapy is a social development program for children with social communication difficulties. It uses children's love of Lego® play, as well as their strengths and interests, to develop communication and social skills.</w:t>
            </w:r>
          </w:p>
        </w:tc>
        <w:tc>
          <w:tcPr>
            <w:tcW w:w="1984" w:type="dxa"/>
            <w:shd w:val="clear" w:color="auto" w:fill="FFFFFF" w:themeFill="background1"/>
            <w:vAlign w:val="center"/>
          </w:tcPr>
          <w:p w14:paraId="7BACFFA6"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All Ages</w:t>
            </w:r>
          </w:p>
          <w:p w14:paraId="36D87712"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EYFS</w:t>
            </w:r>
          </w:p>
          <w:p w14:paraId="295CB971"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KS1</w:t>
            </w:r>
          </w:p>
          <w:p w14:paraId="6542FDF6"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KS2</w:t>
            </w:r>
          </w:p>
        </w:tc>
      </w:tr>
      <w:tr w:rsidR="00E8709C" w:rsidRPr="00AC37C7" w14:paraId="0C32B3FE" w14:textId="77777777" w:rsidTr="00257AA0">
        <w:tc>
          <w:tcPr>
            <w:tcW w:w="2263" w:type="dxa"/>
            <w:shd w:val="clear" w:color="auto" w:fill="FFFFFF" w:themeFill="background1"/>
            <w:vAlign w:val="center"/>
          </w:tcPr>
          <w:p w14:paraId="1C41A2C8"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KS2 RWI</w:t>
            </w:r>
          </w:p>
        </w:tc>
        <w:tc>
          <w:tcPr>
            <w:tcW w:w="6521" w:type="dxa"/>
            <w:shd w:val="clear" w:color="auto" w:fill="FFFFFF" w:themeFill="background1"/>
            <w:vAlign w:val="center"/>
          </w:tcPr>
          <w:p w14:paraId="1D0EA142" w14:textId="77777777" w:rsidR="000D2D02" w:rsidRPr="00AC37C7" w:rsidRDefault="000D2D02" w:rsidP="00BE22F7">
            <w:pPr>
              <w:rPr>
                <w:rFonts w:ascii="Arial" w:hAnsi="Arial" w:cs="Arial"/>
                <w:sz w:val="24"/>
                <w:szCs w:val="24"/>
              </w:rPr>
            </w:pPr>
            <w:r w:rsidRPr="00AC37C7">
              <w:rPr>
                <w:rFonts w:ascii="Arial" w:hAnsi="Arial" w:cs="Arial"/>
                <w:sz w:val="24"/>
                <w:szCs w:val="24"/>
                <w:shd w:val="clear" w:color="auto" w:fill="FFFFFF"/>
              </w:rPr>
              <w:t>Read Write Inc. catch up sessions for pupils in KS2. Small group sessions.</w:t>
            </w:r>
          </w:p>
        </w:tc>
        <w:tc>
          <w:tcPr>
            <w:tcW w:w="1984" w:type="dxa"/>
            <w:shd w:val="clear" w:color="auto" w:fill="FFFFFF" w:themeFill="background1"/>
            <w:vAlign w:val="center"/>
          </w:tcPr>
          <w:p w14:paraId="554D2935"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KS2</w:t>
            </w:r>
          </w:p>
        </w:tc>
      </w:tr>
      <w:tr w:rsidR="00E8709C" w:rsidRPr="00AC37C7" w14:paraId="223B797B" w14:textId="77777777" w:rsidTr="00257AA0">
        <w:tc>
          <w:tcPr>
            <w:tcW w:w="2263" w:type="dxa"/>
            <w:shd w:val="clear" w:color="auto" w:fill="FFFFFF" w:themeFill="background1"/>
            <w:vAlign w:val="center"/>
          </w:tcPr>
          <w:p w14:paraId="102FD3AB"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Fresh Start (RWI)</w:t>
            </w:r>
          </w:p>
        </w:tc>
        <w:tc>
          <w:tcPr>
            <w:tcW w:w="6521" w:type="dxa"/>
            <w:shd w:val="clear" w:color="auto" w:fill="FFFFFF" w:themeFill="background1"/>
            <w:vAlign w:val="center"/>
          </w:tcPr>
          <w:p w14:paraId="15D80A09" w14:textId="77777777" w:rsidR="000D2D02" w:rsidRPr="00AC37C7" w:rsidRDefault="000D2D02" w:rsidP="00BE22F7">
            <w:pPr>
              <w:rPr>
                <w:rFonts w:ascii="Arial" w:hAnsi="Arial" w:cs="Arial"/>
                <w:sz w:val="24"/>
                <w:szCs w:val="24"/>
              </w:rPr>
            </w:pPr>
            <w:r w:rsidRPr="00AC37C7">
              <w:rPr>
                <w:rFonts w:ascii="Arial" w:hAnsi="Arial" w:cs="Arial"/>
                <w:sz w:val="24"/>
                <w:szCs w:val="24"/>
                <w:shd w:val="clear" w:color="auto" w:fill="FFFFFF"/>
              </w:rPr>
              <w:t>Read Write Inc. Fresh Start teaches students to read accurately and fluently with good comprehension. It teaches them to spell correctly and compose their ideas for writing step-by-step.</w:t>
            </w:r>
          </w:p>
        </w:tc>
        <w:tc>
          <w:tcPr>
            <w:tcW w:w="1984" w:type="dxa"/>
            <w:shd w:val="clear" w:color="auto" w:fill="FFFFFF" w:themeFill="background1"/>
            <w:vAlign w:val="center"/>
          </w:tcPr>
          <w:p w14:paraId="1C05B69E" w14:textId="77777777" w:rsidR="000D2D02" w:rsidRPr="00AC37C7" w:rsidRDefault="000D2D02" w:rsidP="00BE22F7">
            <w:pPr>
              <w:jc w:val="center"/>
              <w:rPr>
                <w:rFonts w:ascii="Arial" w:hAnsi="Arial" w:cs="Arial"/>
                <w:sz w:val="24"/>
                <w:szCs w:val="24"/>
              </w:rPr>
            </w:pPr>
            <w:r w:rsidRPr="00AC37C7">
              <w:rPr>
                <w:rFonts w:ascii="Arial" w:hAnsi="Arial" w:cs="Arial"/>
                <w:sz w:val="24"/>
                <w:szCs w:val="24"/>
              </w:rPr>
              <w:t>UKS2</w:t>
            </w:r>
          </w:p>
        </w:tc>
      </w:tr>
      <w:tr w:rsidR="00E8709C" w:rsidRPr="00AC37C7" w14:paraId="71B67101" w14:textId="77777777" w:rsidTr="00257AA0">
        <w:tc>
          <w:tcPr>
            <w:tcW w:w="2263" w:type="dxa"/>
            <w:shd w:val="clear" w:color="auto" w:fill="FFFFFF" w:themeFill="background1"/>
            <w:vAlign w:val="center"/>
          </w:tcPr>
          <w:p w14:paraId="5EB0325B"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Speech Link</w:t>
            </w:r>
          </w:p>
        </w:tc>
        <w:tc>
          <w:tcPr>
            <w:tcW w:w="6521" w:type="dxa"/>
            <w:shd w:val="clear" w:color="auto" w:fill="FFFFFF" w:themeFill="background1"/>
            <w:vAlign w:val="center"/>
          </w:tcPr>
          <w:p w14:paraId="2888C29F" w14:textId="77777777" w:rsidR="000D2D02" w:rsidRPr="00AC37C7" w:rsidRDefault="00BE22F7" w:rsidP="00BE22F7">
            <w:pPr>
              <w:rPr>
                <w:rFonts w:ascii="Arial" w:hAnsi="Arial" w:cs="Arial"/>
                <w:sz w:val="24"/>
                <w:szCs w:val="24"/>
              </w:rPr>
            </w:pPr>
            <w:r w:rsidRPr="00AC37C7">
              <w:rPr>
                <w:rFonts w:ascii="Arial" w:hAnsi="Arial" w:cs="Arial"/>
                <w:sz w:val="24"/>
                <w:szCs w:val="24"/>
                <w:shd w:val="clear" w:color="auto" w:fill="FFFFFF"/>
              </w:rPr>
              <w:t>U</w:t>
            </w:r>
            <w:r w:rsidR="000D2D02" w:rsidRPr="00AC37C7">
              <w:rPr>
                <w:rFonts w:ascii="Arial" w:hAnsi="Arial" w:cs="Arial"/>
                <w:sz w:val="24"/>
                <w:szCs w:val="24"/>
                <w:shd w:val="clear" w:color="auto" w:fill="FFFFFF"/>
              </w:rPr>
              <w:t xml:space="preserve">sed to identify and support children with developmental speech sound difficulties. </w:t>
            </w:r>
            <w:r w:rsidR="00C03D57" w:rsidRPr="00AC37C7">
              <w:rPr>
                <w:rFonts w:ascii="Arial" w:hAnsi="Arial" w:cs="Arial"/>
                <w:sz w:val="24"/>
                <w:szCs w:val="24"/>
                <w:shd w:val="clear" w:color="auto" w:fill="FFFFFF"/>
              </w:rPr>
              <w:t>Used</w:t>
            </w:r>
            <w:r w:rsidR="000D2D02" w:rsidRPr="00AC37C7">
              <w:rPr>
                <w:rFonts w:ascii="Arial" w:hAnsi="Arial" w:cs="Arial"/>
                <w:sz w:val="24"/>
                <w:szCs w:val="24"/>
                <w:shd w:val="clear" w:color="auto" w:fill="FFFFFF"/>
              </w:rPr>
              <w:t xml:space="preserve"> widely throughout the UK to help schools decide who needs to be seen by a Speech and Language Therapist and those at risk of literacy difficulties. </w:t>
            </w:r>
            <w:r w:rsidR="00C03D57" w:rsidRPr="00AC37C7">
              <w:rPr>
                <w:rFonts w:ascii="Arial" w:hAnsi="Arial" w:cs="Arial"/>
                <w:sz w:val="24"/>
                <w:szCs w:val="24"/>
                <w:shd w:val="clear" w:color="auto" w:fill="FFFFFF"/>
              </w:rPr>
              <w:t xml:space="preserve">Speech </w:t>
            </w:r>
            <w:r w:rsidR="000D2D02" w:rsidRPr="00AC37C7">
              <w:rPr>
                <w:rFonts w:ascii="Arial" w:hAnsi="Arial" w:cs="Arial"/>
                <w:sz w:val="24"/>
                <w:szCs w:val="24"/>
                <w:shd w:val="clear" w:color="auto" w:fill="FFFFFF"/>
              </w:rPr>
              <w:t xml:space="preserve">Link helps demystify speech work and helps support staff </w:t>
            </w:r>
            <w:r w:rsidR="00C03D57" w:rsidRPr="00AC37C7">
              <w:rPr>
                <w:rFonts w:ascii="Arial" w:hAnsi="Arial" w:cs="Arial"/>
                <w:sz w:val="24"/>
                <w:szCs w:val="24"/>
                <w:shd w:val="clear" w:color="auto" w:fill="FFFFFF"/>
              </w:rPr>
              <w:t xml:space="preserve">to </w:t>
            </w:r>
            <w:r w:rsidR="000D2D02" w:rsidRPr="00AC37C7">
              <w:rPr>
                <w:rFonts w:ascii="Arial" w:hAnsi="Arial" w:cs="Arial"/>
                <w:sz w:val="24"/>
                <w:szCs w:val="24"/>
                <w:shd w:val="clear" w:color="auto" w:fill="FFFFFF"/>
              </w:rPr>
              <w:t>work effectively with children’s common speech sound errors.</w:t>
            </w:r>
          </w:p>
        </w:tc>
        <w:tc>
          <w:tcPr>
            <w:tcW w:w="1984" w:type="dxa"/>
            <w:shd w:val="clear" w:color="auto" w:fill="FFFFFF" w:themeFill="background1"/>
            <w:vAlign w:val="center"/>
          </w:tcPr>
          <w:p w14:paraId="219F2761" w14:textId="77777777" w:rsidR="000D2D02" w:rsidRPr="00AC37C7" w:rsidRDefault="00BE22F7" w:rsidP="00BE22F7">
            <w:pPr>
              <w:jc w:val="center"/>
              <w:rPr>
                <w:rFonts w:ascii="Arial" w:hAnsi="Arial" w:cs="Arial"/>
                <w:sz w:val="24"/>
                <w:szCs w:val="24"/>
              </w:rPr>
            </w:pPr>
            <w:r w:rsidRPr="00AC37C7">
              <w:rPr>
                <w:rFonts w:ascii="Arial" w:hAnsi="Arial" w:cs="Arial"/>
                <w:sz w:val="24"/>
                <w:szCs w:val="24"/>
                <w:shd w:val="clear" w:color="auto" w:fill="FBFBF9"/>
              </w:rPr>
              <w:t>4 to 8 years</w:t>
            </w:r>
          </w:p>
        </w:tc>
      </w:tr>
      <w:tr w:rsidR="00E8709C" w:rsidRPr="00AC37C7" w14:paraId="66D1A181" w14:textId="77777777" w:rsidTr="00257AA0">
        <w:tc>
          <w:tcPr>
            <w:tcW w:w="2263" w:type="dxa"/>
            <w:shd w:val="clear" w:color="auto" w:fill="FFFFFF" w:themeFill="background1"/>
            <w:vAlign w:val="center"/>
          </w:tcPr>
          <w:p w14:paraId="7F1A191D"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Infant Language Link</w:t>
            </w:r>
          </w:p>
        </w:tc>
        <w:tc>
          <w:tcPr>
            <w:tcW w:w="6521" w:type="dxa"/>
            <w:shd w:val="clear" w:color="auto" w:fill="FFFFFF" w:themeFill="background1"/>
            <w:vAlign w:val="center"/>
          </w:tcPr>
          <w:p w14:paraId="27426127" w14:textId="77777777" w:rsidR="000D2D02" w:rsidRPr="00AC37C7" w:rsidRDefault="00C03D57" w:rsidP="00BE22F7">
            <w:pPr>
              <w:rPr>
                <w:rFonts w:ascii="Arial" w:hAnsi="Arial" w:cs="Arial"/>
                <w:sz w:val="24"/>
                <w:szCs w:val="24"/>
              </w:rPr>
            </w:pPr>
            <w:r w:rsidRPr="00AC37C7">
              <w:rPr>
                <w:rFonts w:ascii="Arial" w:hAnsi="Arial" w:cs="Arial"/>
                <w:sz w:val="24"/>
                <w:szCs w:val="24"/>
                <w:shd w:val="clear" w:color="auto" w:fill="FBFBF9"/>
              </w:rPr>
              <w:t>U</w:t>
            </w:r>
            <w:r w:rsidR="000D2D02" w:rsidRPr="00AC37C7">
              <w:rPr>
                <w:rFonts w:ascii="Arial" w:hAnsi="Arial" w:cs="Arial"/>
                <w:sz w:val="24"/>
                <w:szCs w:val="24"/>
                <w:shd w:val="clear" w:color="auto" w:fill="FBFBF9"/>
              </w:rPr>
              <w:t>sed to identify and support children with mild to moderate S</w:t>
            </w:r>
            <w:r w:rsidRPr="00AC37C7">
              <w:rPr>
                <w:rFonts w:ascii="Arial" w:hAnsi="Arial" w:cs="Arial"/>
                <w:sz w:val="24"/>
                <w:szCs w:val="24"/>
                <w:shd w:val="clear" w:color="auto" w:fill="FBFBF9"/>
              </w:rPr>
              <w:t xml:space="preserve">ocial, </w:t>
            </w:r>
            <w:r w:rsidR="000D2D02" w:rsidRPr="00AC37C7">
              <w:rPr>
                <w:rFonts w:ascii="Arial" w:hAnsi="Arial" w:cs="Arial"/>
                <w:sz w:val="24"/>
                <w:szCs w:val="24"/>
                <w:shd w:val="clear" w:color="auto" w:fill="FBFBF9"/>
              </w:rPr>
              <w:t>L</w:t>
            </w:r>
            <w:r w:rsidRPr="00AC37C7">
              <w:rPr>
                <w:rFonts w:ascii="Arial" w:hAnsi="Arial" w:cs="Arial"/>
                <w:sz w:val="24"/>
                <w:szCs w:val="24"/>
                <w:shd w:val="clear" w:color="auto" w:fill="FBFBF9"/>
              </w:rPr>
              <w:t xml:space="preserve">anguage and </w:t>
            </w:r>
            <w:r w:rsidR="000D2D02" w:rsidRPr="00AC37C7">
              <w:rPr>
                <w:rFonts w:ascii="Arial" w:hAnsi="Arial" w:cs="Arial"/>
                <w:sz w:val="24"/>
                <w:szCs w:val="24"/>
                <w:shd w:val="clear" w:color="auto" w:fill="FBFBF9"/>
              </w:rPr>
              <w:t>C</w:t>
            </w:r>
            <w:r w:rsidRPr="00AC37C7">
              <w:rPr>
                <w:rFonts w:ascii="Arial" w:hAnsi="Arial" w:cs="Arial"/>
                <w:sz w:val="24"/>
                <w:szCs w:val="24"/>
                <w:shd w:val="clear" w:color="auto" w:fill="FBFBF9"/>
              </w:rPr>
              <w:t xml:space="preserve">ommunication </w:t>
            </w:r>
            <w:r w:rsidR="000D2D02" w:rsidRPr="00AC37C7">
              <w:rPr>
                <w:rFonts w:ascii="Arial" w:hAnsi="Arial" w:cs="Arial"/>
                <w:sz w:val="24"/>
                <w:szCs w:val="24"/>
                <w:shd w:val="clear" w:color="auto" w:fill="FBFBF9"/>
              </w:rPr>
              <w:t>N</w:t>
            </w:r>
            <w:r w:rsidRPr="00AC37C7">
              <w:rPr>
                <w:rFonts w:ascii="Arial" w:hAnsi="Arial" w:cs="Arial"/>
                <w:sz w:val="24"/>
                <w:szCs w:val="24"/>
                <w:shd w:val="clear" w:color="auto" w:fill="FBFBF9"/>
              </w:rPr>
              <w:t>eeds (SCLN)</w:t>
            </w:r>
            <w:r w:rsidR="000D2D02" w:rsidRPr="00AC37C7">
              <w:rPr>
                <w:rFonts w:ascii="Arial" w:hAnsi="Arial" w:cs="Arial"/>
                <w:sz w:val="24"/>
                <w:szCs w:val="24"/>
                <w:shd w:val="clear" w:color="auto" w:fill="FBFBF9"/>
              </w:rPr>
              <w:t xml:space="preserve"> and those new to English. The assessment will also identify any children who may have more severe language needs, such as Developmental Language Disorder (DLD), so that these children can be considered for further investigations and diagnostic assessment with your local Speech and Language Therapy team. </w:t>
            </w:r>
          </w:p>
        </w:tc>
        <w:tc>
          <w:tcPr>
            <w:tcW w:w="1984" w:type="dxa"/>
            <w:shd w:val="clear" w:color="auto" w:fill="FFFFFF" w:themeFill="background1"/>
            <w:vAlign w:val="center"/>
          </w:tcPr>
          <w:p w14:paraId="3895D322" w14:textId="77777777" w:rsidR="000D2D02" w:rsidRPr="00AC37C7" w:rsidRDefault="00BE22F7" w:rsidP="00BE22F7">
            <w:pPr>
              <w:jc w:val="center"/>
              <w:rPr>
                <w:rFonts w:ascii="Arial" w:hAnsi="Arial" w:cs="Arial"/>
                <w:sz w:val="24"/>
                <w:szCs w:val="24"/>
              </w:rPr>
            </w:pPr>
            <w:r w:rsidRPr="00AC37C7">
              <w:rPr>
                <w:rFonts w:ascii="Arial" w:hAnsi="Arial" w:cs="Arial"/>
                <w:sz w:val="24"/>
                <w:szCs w:val="24"/>
                <w:shd w:val="clear" w:color="auto" w:fill="FBFBF9"/>
              </w:rPr>
              <w:t>4 to 8 years</w:t>
            </w:r>
          </w:p>
        </w:tc>
      </w:tr>
      <w:tr w:rsidR="00E8709C" w:rsidRPr="00AC37C7" w14:paraId="1C7278AA" w14:textId="77777777" w:rsidTr="00257AA0">
        <w:tc>
          <w:tcPr>
            <w:tcW w:w="2263" w:type="dxa"/>
            <w:shd w:val="clear" w:color="auto" w:fill="FFFFFF" w:themeFill="background1"/>
            <w:vAlign w:val="center"/>
          </w:tcPr>
          <w:p w14:paraId="132DD01F" w14:textId="77777777" w:rsidR="000D2D02" w:rsidRPr="00AC37C7" w:rsidRDefault="000D2D02" w:rsidP="00BE22F7">
            <w:pPr>
              <w:jc w:val="center"/>
              <w:rPr>
                <w:rFonts w:ascii="Arial" w:hAnsi="Arial" w:cs="Arial"/>
                <w:b/>
                <w:sz w:val="24"/>
                <w:szCs w:val="24"/>
              </w:rPr>
            </w:pPr>
            <w:r w:rsidRPr="00AC37C7">
              <w:rPr>
                <w:rFonts w:ascii="Arial" w:hAnsi="Arial" w:cs="Arial"/>
                <w:b/>
                <w:sz w:val="24"/>
                <w:szCs w:val="24"/>
              </w:rPr>
              <w:t>Junior Language Link</w:t>
            </w:r>
          </w:p>
        </w:tc>
        <w:tc>
          <w:tcPr>
            <w:tcW w:w="6521" w:type="dxa"/>
            <w:shd w:val="clear" w:color="auto" w:fill="FFFFFF" w:themeFill="background1"/>
            <w:vAlign w:val="center"/>
          </w:tcPr>
          <w:p w14:paraId="5F95EB35" w14:textId="77777777" w:rsidR="000D2D02" w:rsidRPr="00AC37C7" w:rsidRDefault="00BE22F7" w:rsidP="00BE22F7">
            <w:pPr>
              <w:rPr>
                <w:rFonts w:ascii="Arial" w:hAnsi="Arial" w:cs="Arial"/>
                <w:sz w:val="24"/>
                <w:szCs w:val="24"/>
              </w:rPr>
            </w:pPr>
            <w:r w:rsidRPr="00AC37C7">
              <w:rPr>
                <w:rFonts w:ascii="Arial" w:hAnsi="Arial" w:cs="Arial"/>
                <w:sz w:val="24"/>
                <w:szCs w:val="24"/>
                <w:shd w:val="clear" w:color="auto" w:fill="FBFBF9"/>
              </w:rPr>
              <w:t xml:space="preserve">Used to identify and support children with mild to moderate </w:t>
            </w:r>
            <w:r w:rsidR="00C03D57" w:rsidRPr="00AC37C7">
              <w:rPr>
                <w:rFonts w:ascii="Arial" w:hAnsi="Arial" w:cs="Arial"/>
                <w:sz w:val="24"/>
                <w:szCs w:val="24"/>
                <w:shd w:val="clear" w:color="auto" w:fill="FBFBF9"/>
              </w:rPr>
              <w:t>Social, Language and Communication Needs (SCLN) and</w:t>
            </w:r>
            <w:r w:rsidRPr="00AC37C7">
              <w:rPr>
                <w:rFonts w:ascii="Arial" w:hAnsi="Arial" w:cs="Arial"/>
                <w:sz w:val="24"/>
                <w:szCs w:val="24"/>
                <w:shd w:val="clear" w:color="auto" w:fill="FBFBF9"/>
              </w:rPr>
              <w:t xml:space="preserve"> those new to English in Key Stage 2. The assessment will also identify any children who may have more severe language needs, such as Developmental Language Disorder (DLD), so that these children can be considered for further investigations and diagnostic assessment with your local Speech and Language Therapy team. It focuses on vital </w:t>
            </w:r>
            <w:r w:rsidR="001152AB" w:rsidRPr="00AC37C7">
              <w:rPr>
                <w:rFonts w:ascii="Arial" w:hAnsi="Arial" w:cs="Arial"/>
                <w:sz w:val="24"/>
                <w:szCs w:val="24"/>
                <w:shd w:val="clear" w:color="auto" w:fill="FBFBF9"/>
              </w:rPr>
              <w:t>higher-level</w:t>
            </w:r>
            <w:r w:rsidRPr="00AC37C7">
              <w:rPr>
                <w:rFonts w:ascii="Arial" w:hAnsi="Arial" w:cs="Arial"/>
                <w:sz w:val="24"/>
                <w:szCs w:val="24"/>
                <w:shd w:val="clear" w:color="auto" w:fill="FBFBF9"/>
              </w:rPr>
              <w:t xml:space="preserve"> language skills such as making inferences, complex grammar and figurative language.</w:t>
            </w:r>
          </w:p>
        </w:tc>
        <w:tc>
          <w:tcPr>
            <w:tcW w:w="1984" w:type="dxa"/>
            <w:shd w:val="clear" w:color="auto" w:fill="FFFFFF" w:themeFill="background1"/>
            <w:vAlign w:val="center"/>
          </w:tcPr>
          <w:p w14:paraId="156D4811" w14:textId="77777777" w:rsidR="000D2D02" w:rsidRPr="00AC37C7" w:rsidRDefault="00BE22F7" w:rsidP="00BE22F7">
            <w:pPr>
              <w:jc w:val="center"/>
              <w:rPr>
                <w:rFonts w:ascii="Arial" w:hAnsi="Arial" w:cs="Arial"/>
                <w:sz w:val="24"/>
                <w:szCs w:val="24"/>
              </w:rPr>
            </w:pPr>
            <w:r w:rsidRPr="00AC37C7">
              <w:rPr>
                <w:rFonts w:ascii="Arial" w:hAnsi="Arial" w:cs="Arial"/>
                <w:sz w:val="24"/>
                <w:szCs w:val="24"/>
                <w:shd w:val="clear" w:color="auto" w:fill="FBFBF9"/>
              </w:rPr>
              <w:t>7 to 11 years</w:t>
            </w:r>
          </w:p>
        </w:tc>
      </w:tr>
      <w:tr w:rsidR="0000133C" w:rsidRPr="00AC37C7" w14:paraId="7BD592C8" w14:textId="77777777" w:rsidTr="00257AA0">
        <w:tc>
          <w:tcPr>
            <w:tcW w:w="2263" w:type="dxa"/>
            <w:shd w:val="clear" w:color="auto" w:fill="FFFFFF" w:themeFill="background1"/>
            <w:vAlign w:val="center"/>
          </w:tcPr>
          <w:p w14:paraId="6E8BC5FB" w14:textId="77777777" w:rsidR="0000133C" w:rsidRPr="00AC37C7" w:rsidRDefault="0000133C" w:rsidP="00BE22F7">
            <w:pPr>
              <w:jc w:val="center"/>
              <w:rPr>
                <w:rFonts w:ascii="Arial" w:hAnsi="Arial" w:cs="Arial"/>
                <w:b/>
                <w:sz w:val="24"/>
                <w:szCs w:val="24"/>
              </w:rPr>
            </w:pPr>
            <w:r w:rsidRPr="00AC37C7">
              <w:rPr>
                <w:rFonts w:ascii="Arial" w:hAnsi="Arial" w:cs="Arial"/>
                <w:b/>
                <w:sz w:val="24"/>
                <w:szCs w:val="24"/>
              </w:rPr>
              <w:t>Sensory Circuits</w:t>
            </w:r>
          </w:p>
        </w:tc>
        <w:tc>
          <w:tcPr>
            <w:tcW w:w="6521" w:type="dxa"/>
            <w:shd w:val="clear" w:color="auto" w:fill="FFFFFF" w:themeFill="background1"/>
            <w:vAlign w:val="center"/>
          </w:tcPr>
          <w:p w14:paraId="03371F2E" w14:textId="77777777" w:rsidR="0000133C" w:rsidRPr="00AC37C7" w:rsidRDefault="0000133C" w:rsidP="00BE22F7">
            <w:pPr>
              <w:rPr>
                <w:rFonts w:ascii="Arial" w:hAnsi="Arial" w:cs="Arial"/>
                <w:sz w:val="24"/>
                <w:szCs w:val="24"/>
                <w:shd w:val="clear" w:color="auto" w:fill="FBFBF9"/>
              </w:rPr>
            </w:pPr>
            <w:r w:rsidRPr="00AC37C7">
              <w:rPr>
                <w:rFonts w:ascii="Arial" w:hAnsi="Arial" w:cs="Arial"/>
                <w:sz w:val="24"/>
                <w:szCs w:val="24"/>
                <w:shd w:val="clear" w:color="auto" w:fill="FBFBF9"/>
              </w:rPr>
              <w:t xml:space="preserve">Participation in a short sensory motor circuit prepares children to engage effectively with the day ahead. </w:t>
            </w:r>
            <w:proofErr w:type="spellStart"/>
            <w:r w:rsidRPr="00AC37C7">
              <w:rPr>
                <w:rFonts w:ascii="Arial" w:hAnsi="Arial" w:cs="Arial"/>
                <w:sz w:val="24"/>
                <w:szCs w:val="24"/>
                <w:shd w:val="clear" w:color="auto" w:fill="FBFBF9"/>
              </w:rPr>
              <w:t>Behavioural</w:t>
            </w:r>
            <w:proofErr w:type="spellEnd"/>
            <w:r w:rsidRPr="00AC37C7">
              <w:rPr>
                <w:rFonts w:ascii="Arial" w:hAnsi="Arial" w:cs="Arial"/>
                <w:sz w:val="24"/>
                <w:szCs w:val="24"/>
                <w:shd w:val="clear" w:color="auto" w:fill="FBFBF9"/>
              </w:rPr>
              <w:t xml:space="preserve"> clues such as fidgeting, poor concentration, excessive physical contact or overall lethargy can indicate that a child is finding it difficult to connect with the learning </w:t>
            </w:r>
            <w:r w:rsidRPr="00AC37C7">
              <w:rPr>
                <w:rFonts w:ascii="Arial" w:hAnsi="Arial" w:cs="Arial"/>
                <w:sz w:val="24"/>
                <w:szCs w:val="24"/>
                <w:shd w:val="clear" w:color="auto" w:fill="FBFBF9"/>
              </w:rPr>
              <w:lastRenderedPageBreak/>
              <w:t xml:space="preserve">process. "Sensory Circuits" are a great way to </w:t>
            </w:r>
            <w:proofErr w:type="spellStart"/>
            <w:r w:rsidRPr="00AC37C7">
              <w:rPr>
                <w:rFonts w:ascii="Arial" w:hAnsi="Arial" w:cs="Arial"/>
                <w:sz w:val="24"/>
                <w:szCs w:val="24"/>
                <w:shd w:val="clear" w:color="auto" w:fill="FBFBF9"/>
              </w:rPr>
              <w:t>energise</w:t>
            </w:r>
            <w:proofErr w:type="spellEnd"/>
            <w:r w:rsidRPr="00AC37C7">
              <w:rPr>
                <w:rFonts w:ascii="Arial" w:hAnsi="Arial" w:cs="Arial"/>
                <w:sz w:val="24"/>
                <w:szCs w:val="24"/>
                <w:shd w:val="clear" w:color="auto" w:fill="FBFBF9"/>
              </w:rPr>
              <w:t xml:space="preserve"> or settle children into the school day.</w:t>
            </w:r>
          </w:p>
        </w:tc>
        <w:tc>
          <w:tcPr>
            <w:tcW w:w="1984" w:type="dxa"/>
            <w:shd w:val="clear" w:color="auto" w:fill="FFFFFF" w:themeFill="background1"/>
            <w:vAlign w:val="center"/>
          </w:tcPr>
          <w:p w14:paraId="74B3D7E3" w14:textId="77777777" w:rsidR="0000133C" w:rsidRPr="00AC37C7" w:rsidRDefault="0000133C" w:rsidP="00BE22F7">
            <w:pPr>
              <w:jc w:val="center"/>
              <w:rPr>
                <w:rFonts w:ascii="Arial" w:hAnsi="Arial" w:cs="Arial"/>
                <w:sz w:val="24"/>
                <w:szCs w:val="24"/>
                <w:shd w:val="clear" w:color="auto" w:fill="FBFBF9"/>
              </w:rPr>
            </w:pPr>
            <w:r w:rsidRPr="00AC37C7">
              <w:rPr>
                <w:rFonts w:ascii="Arial" w:hAnsi="Arial" w:cs="Arial"/>
                <w:sz w:val="24"/>
                <w:szCs w:val="24"/>
                <w:shd w:val="clear" w:color="auto" w:fill="FBFBF9"/>
              </w:rPr>
              <w:lastRenderedPageBreak/>
              <w:t>EYFS</w:t>
            </w:r>
          </w:p>
          <w:p w14:paraId="326E17CE" w14:textId="77777777" w:rsidR="0000133C" w:rsidRPr="00AC37C7" w:rsidRDefault="0000133C" w:rsidP="00BE22F7">
            <w:pPr>
              <w:jc w:val="center"/>
              <w:rPr>
                <w:rFonts w:ascii="Arial" w:hAnsi="Arial" w:cs="Arial"/>
                <w:sz w:val="24"/>
                <w:szCs w:val="24"/>
                <w:shd w:val="clear" w:color="auto" w:fill="FBFBF9"/>
              </w:rPr>
            </w:pPr>
            <w:r w:rsidRPr="00AC37C7">
              <w:rPr>
                <w:rFonts w:ascii="Arial" w:hAnsi="Arial" w:cs="Arial"/>
                <w:sz w:val="24"/>
                <w:szCs w:val="24"/>
                <w:shd w:val="clear" w:color="auto" w:fill="FBFBF9"/>
              </w:rPr>
              <w:t>KS1</w:t>
            </w:r>
          </w:p>
          <w:p w14:paraId="4493F973" w14:textId="77777777" w:rsidR="0000133C" w:rsidRPr="00AC37C7" w:rsidRDefault="0000133C" w:rsidP="00BE22F7">
            <w:pPr>
              <w:jc w:val="center"/>
              <w:rPr>
                <w:rFonts w:ascii="Arial" w:hAnsi="Arial" w:cs="Arial"/>
                <w:sz w:val="24"/>
                <w:szCs w:val="24"/>
                <w:shd w:val="clear" w:color="auto" w:fill="FBFBF9"/>
              </w:rPr>
            </w:pPr>
            <w:r w:rsidRPr="00AC37C7">
              <w:rPr>
                <w:rFonts w:ascii="Arial" w:hAnsi="Arial" w:cs="Arial"/>
                <w:sz w:val="24"/>
                <w:szCs w:val="24"/>
                <w:shd w:val="clear" w:color="auto" w:fill="FBFBF9"/>
              </w:rPr>
              <w:t>KS2</w:t>
            </w:r>
          </w:p>
        </w:tc>
      </w:tr>
      <w:tr w:rsidR="0000133C" w:rsidRPr="00AC37C7" w14:paraId="00141E49" w14:textId="77777777" w:rsidTr="00257AA0">
        <w:trPr>
          <w:trHeight w:val="2001"/>
        </w:trPr>
        <w:tc>
          <w:tcPr>
            <w:tcW w:w="2263" w:type="dxa"/>
            <w:shd w:val="clear" w:color="auto" w:fill="FFFFFF" w:themeFill="background1"/>
            <w:vAlign w:val="center"/>
          </w:tcPr>
          <w:p w14:paraId="4B6CF2F9" w14:textId="77777777" w:rsidR="0000133C" w:rsidRPr="00AC37C7" w:rsidRDefault="0000133C" w:rsidP="00BE22F7">
            <w:pPr>
              <w:jc w:val="center"/>
              <w:rPr>
                <w:rFonts w:ascii="Arial" w:hAnsi="Arial" w:cs="Arial"/>
                <w:b/>
                <w:sz w:val="24"/>
                <w:szCs w:val="24"/>
              </w:rPr>
            </w:pPr>
            <w:r w:rsidRPr="00AC37C7">
              <w:rPr>
                <w:rFonts w:ascii="Arial" w:hAnsi="Arial" w:cs="Arial"/>
                <w:b/>
                <w:sz w:val="24"/>
                <w:szCs w:val="24"/>
              </w:rPr>
              <w:t>Jump Ahead</w:t>
            </w:r>
          </w:p>
        </w:tc>
        <w:tc>
          <w:tcPr>
            <w:tcW w:w="6521" w:type="dxa"/>
            <w:shd w:val="clear" w:color="auto" w:fill="FFFFFF" w:themeFill="background1"/>
            <w:vAlign w:val="center"/>
          </w:tcPr>
          <w:p w14:paraId="2DB21F16" w14:textId="77777777" w:rsidR="0000133C" w:rsidRPr="00AC37C7" w:rsidRDefault="007B0493" w:rsidP="00BE22F7">
            <w:pPr>
              <w:rPr>
                <w:rFonts w:ascii="Arial" w:hAnsi="Arial" w:cs="Arial"/>
                <w:sz w:val="24"/>
                <w:szCs w:val="24"/>
                <w:shd w:val="clear" w:color="auto" w:fill="FBFBF9"/>
              </w:rPr>
            </w:pPr>
            <w:r w:rsidRPr="00AC37C7">
              <w:rPr>
                <w:rFonts w:ascii="Arial" w:hAnsi="Arial" w:cs="Arial"/>
                <w:sz w:val="24"/>
                <w:szCs w:val="24"/>
                <w:shd w:val="clear" w:color="auto" w:fill="FBFBF9"/>
              </w:rPr>
              <w:t xml:space="preserve">Jump Ahead is a motor </w:t>
            </w:r>
            <w:proofErr w:type="spellStart"/>
            <w:r w:rsidRPr="00AC37C7">
              <w:rPr>
                <w:rFonts w:ascii="Arial" w:hAnsi="Arial" w:cs="Arial"/>
                <w:sz w:val="24"/>
                <w:szCs w:val="24"/>
                <w:shd w:val="clear" w:color="auto" w:fill="FBFBF9"/>
              </w:rPr>
              <w:t>programme</w:t>
            </w:r>
            <w:proofErr w:type="spellEnd"/>
            <w:r w:rsidRPr="00AC37C7">
              <w:rPr>
                <w:rFonts w:ascii="Arial" w:hAnsi="Arial" w:cs="Arial"/>
                <w:sz w:val="24"/>
                <w:szCs w:val="24"/>
                <w:shd w:val="clear" w:color="auto" w:fill="FBFBF9"/>
              </w:rPr>
              <w:t xml:space="preserve"> that has been written by occupational and Physiotherapy services.</w:t>
            </w:r>
            <w:r w:rsidR="00420BF5" w:rsidRPr="00AC37C7">
              <w:rPr>
                <w:rFonts w:ascii="Arial" w:hAnsi="Arial" w:cs="Arial"/>
                <w:sz w:val="24"/>
                <w:szCs w:val="24"/>
                <w:shd w:val="clear" w:color="auto" w:fill="FBFBF9"/>
              </w:rPr>
              <w:t xml:space="preserve"> </w:t>
            </w:r>
            <w:r w:rsidRPr="00AC37C7">
              <w:rPr>
                <w:rFonts w:ascii="Arial" w:hAnsi="Arial" w:cs="Arial"/>
                <w:sz w:val="24"/>
                <w:szCs w:val="24"/>
                <w:shd w:val="clear" w:color="auto" w:fill="FBFBF9"/>
              </w:rPr>
              <w:t xml:space="preserve">It is a </w:t>
            </w:r>
            <w:r w:rsidR="00420BF5" w:rsidRPr="00AC37C7">
              <w:rPr>
                <w:rFonts w:ascii="Arial" w:hAnsi="Arial" w:cs="Arial"/>
                <w:sz w:val="24"/>
                <w:szCs w:val="24"/>
                <w:shd w:val="clear" w:color="auto" w:fill="FBFBF9"/>
              </w:rPr>
              <w:t>structured intervention</w:t>
            </w:r>
            <w:r w:rsidRPr="00AC37C7">
              <w:rPr>
                <w:rFonts w:ascii="Arial" w:hAnsi="Arial" w:cs="Arial"/>
                <w:sz w:val="24"/>
                <w:szCs w:val="24"/>
                <w:shd w:val="clear" w:color="auto" w:fill="FBFBF9"/>
              </w:rPr>
              <w:t xml:space="preserve"> to develop all the underlying movement skills a student needs for confidence and progress in the classroom.</w:t>
            </w:r>
          </w:p>
        </w:tc>
        <w:tc>
          <w:tcPr>
            <w:tcW w:w="1984" w:type="dxa"/>
            <w:shd w:val="clear" w:color="auto" w:fill="FFFFFF" w:themeFill="background1"/>
            <w:vAlign w:val="center"/>
          </w:tcPr>
          <w:p w14:paraId="255F66A9" w14:textId="77777777" w:rsidR="00420BF5" w:rsidRPr="00AC37C7" w:rsidRDefault="00420BF5" w:rsidP="00420BF5">
            <w:pPr>
              <w:jc w:val="center"/>
              <w:rPr>
                <w:rFonts w:ascii="Arial" w:hAnsi="Arial" w:cs="Arial"/>
                <w:sz w:val="24"/>
                <w:szCs w:val="24"/>
                <w:shd w:val="clear" w:color="auto" w:fill="FBFBF9"/>
              </w:rPr>
            </w:pPr>
            <w:r w:rsidRPr="00AC37C7">
              <w:rPr>
                <w:rFonts w:ascii="Arial" w:hAnsi="Arial" w:cs="Arial"/>
                <w:sz w:val="24"/>
                <w:szCs w:val="24"/>
                <w:shd w:val="clear" w:color="auto" w:fill="FBFBF9"/>
              </w:rPr>
              <w:t>KS1</w:t>
            </w:r>
          </w:p>
          <w:p w14:paraId="57F228CD" w14:textId="77777777" w:rsidR="00420BF5" w:rsidRPr="00AC37C7" w:rsidRDefault="00420BF5" w:rsidP="00420BF5">
            <w:pPr>
              <w:jc w:val="center"/>
              <w:rPr>
                <w:rFonts w:ascii="Arial" w:hAnsi="Arial" w:cs="Arial"/>
                <w:sz w:val="24"/>
                <w:szCs w:val="24"/>
                <w:shd w:val="clear" w:color="auto" w:fill="FBFBF9"/>
              </w:rPr>
            </w:pPr>
            <w:r w:rsidRPr="00AC37C7">
              <w:rPr>
                <w:rFonts w:ascii="Arial" w:hAnsi="Arial" w:cs="Arial"/>
                <w:sz w:val="24"/>
                <w:szCs w:val="24"/>
                <w:shd w:val="clear" w:color="auto" w:fill="FBFBF9"/>
              </w:rPr>
              <w:t>KS2</w:t>
            </w:r>
          </w:p>
        </w:tc>
      </w:tr>
      <w:tr w:rsidR="00E00027" w:rsidRPr="00AC37C7" w14:paraId="48E63335" w14:textId="77777777" w:rsidTr="00257AA0">
        <w:trPr>
          <w:trHeight w:val="2001"/>
        </w:trPr>
        <w:tc>
          <w:tcPr>
            <w:tcW w:w="2263" w:type="dxa"/>
            <w:shd w:val="clear" w:color="auto" w:fill="FFFFFF" w:themeFill="background1"/>
            <w:vAlign w:val="center"/>
          </w:tcPr>
          <w:p w14:paraId="1EDA99E2" w14:textId="77777777" w:rsidR="00E00027" w:rsidRPr="00AC37C7" w:rsidRDefault="00E00027" w:rsidP="00BE22F7">
            <w:pPr>
              <w:jc w:val="center"/>
              <w:rPr>
                <w:rFonts w:ascii="Arial" w:hAnsi="Arial" w:cs="Arial"/>
                <w:b/>
                <w:sz w:val="24"/>
                <w:szCs w:val="24"/>
              </w:rPr>
            </w:pPr>
            <w:proofErr w:type="spellStart"/>
            <w:r w:rsidRPr="00AC37C7">
              <w:rPr>
                <w:rFonts w:ascii="Arial" w:hAnsi="Arial" w:cs="Arial"/>
                <w:b/>
                <w:sz w:val="24"/>
                <w:szCs w:val="24"/>
              </w:rPr>
              <w:t>Fegans</w:t>
            </w:r>
            <w:proofErr w:type="spellEnd"/>
            <w:r w:rsidRPr="00AC37C7">
              <w:rPr>
                <w:rFonts w:ascii="Arial" w:hAnsi="Arial" w:cs="Arial"/>
                <w:b/>
                <w:sz w:val="24"/>
                <w:szCs w:val="24"/>
              </w:rPr>
              <w:t xml:space="preserve"> Counselling</w:t>
            </w:r>
          </w:p>
        </w:tc>
        <w:tc>
          <w:tcPr>
            <w:tcW w:w="6521" w:type="dxa"/>
            <w:shd w:val="clear" w:color="auto" w:fill="FFFFFF" w:themeFill="background1"/>
            <w:vAlign w:val="center"/>
          </w:tcPr>
          <w:p w14:paraId="434E31E5" w14:textId="77777777" w:rsidR="00E00027" w:rsidRPr="00AC37C7" w:rsidRDefault="00E00027" w:rsidP="00BE22F7">
            <w:pPr>
              <w:rPr>
                <w:rFonts w:ascii="Arial" w:hAnsi="Arial" w:cs="Arial"/>
                <w:sz w:val="24"/>
                <w:szCs w:val="24"/>
                <w:shd w:val="clear" w:color="auto" w:fill="FBFBF9"/>
              </w:rPr>
            </w:pPr>
            <w:r w:rsidRPr="00AC37C7">
              <w:rPr>
                <w:rFonts w:ascii="Arial" w:hAnsi="Arial" w:cs="Arial"/>
                <w:sz w:val="24"/>
                <w:szCs w:val="24"/>
                <w:shd w:val="clear" w:color="auto" w:fill="FBFBF9"/>
              </w:rPr>
              <w:t>Children can be helped to work through their difficulties by the use of play therapy, where the therapist offers a safe place to express troubling emotions in a creative and therapeutic way using play.</w:t>
            </w:r>
          </w:p>
        </w:tc>
        <w:tc>
          <w:tcPr>
            <w:tcW w:w="1984" w:type="dxa"/>
            <w:shd w:val="clear" w:color="auto" w:fill="FFFFFF" w:themeFill="background1"/>
            <w:vAlign w:val="center"/>
          </w:tcPr>
          <w:p w14:paraId="29DCE78C" w14:textId="77777777" w:rsidR="00E00027" w:rsidRPr="00AC37C7" w:rsidRDefault="004C3ECB" w:rsidP="00420BF5">
            <w:pPr>
              <w:jc w:val="center"/>
              <w:rPr>
                <w:rFonts w:ascii="Arial" w:hAnsi="Arial" w:cs="Arial"/>
                <w:sz w:val="24"/>
                <w:szCs w:val="24"/>
                <w:shd w:val="clear" w:color="auto" w:fill="FBFBF9"/>
              </w:rPr>
            </w:pPr>
            <w:r w:rsidRPr="00AC37C7">
              <w:rPr>
                <w:rFonts w:ascii="Arial" w:hAnsi="Arial" w:cs="Arial"/>
                <w:sz w:val="24"/>
                <w:szCs w:val="24"/>
                <w:shd w:val="clear" w:color="auto" w:fill="FBFBF9"/>
              </w:rPr>
              <w:t>KS1</w:t>
            </w:r>
          </w:p>
          <w:p w14:paraId="1AABB908" w14:textId="77777777" w:rsidR="004C3ECB" w:rsidRPr="00AC37C7" w:rsidRDefault="004C3ECB" w:rsidP="00420BF5">
            <w:pPr>
              <w:jc w:val="center"/>
              <w:rPr>
                <w:rFonts w:ascii="Arial" w:hAnsi="Arial" w:cs="Arial"/>
                <w:sz w:val="24"/>
                <w:szCs w:val="24"/>
                <w:shd w:val="clear" w:color="auto" w:fill="FBFBF9"/>
              </w:rPr>
            </w:pPr>
            <w:r w:rsidRPr="00AC37C7">
              <w:rPr>
                <w:rFonts w:ascii="Arial" w:hAnsi="Arial" w:cs="Arial"/>
                <w:sz w:val="24"/>
                <w:szCs w:val="24"/>
                <w:shd w:val="clear" w:color="auto" w:fill="FBFBF9"/>
              </w:rPr>
              <w:t>KS2</w:t>
            </w:r>
          </w:p>
        </w:tc>
      </w:tr>
      <w:tr w:rsidR="00515549" w:rsidRPr="00AC37C7" w14:paraId="763C05EE" w14:textId="77777777" w:rsidTr="00257AA0">
        <w:trPr>
          <w:trHeight w:val="1107"/>
        </w:trPr>
        <w:tc>
          <w:tcPr>
            <w:tcW w:w="2263" w:type="dxa"/>
            <w:shd w:val="clear" w:color="auto" w:fill="FFFFFF" w:themeFill="background1"/>
            <w:vAlign w:val="center"/>
          </w:tcPr>
          <w:p w14:paraId="42476726" w14:textId="77777777" w:rsidR="00515549" w:rsidRPr="00AC37C7" w:rsidRDefault="00515549" w:rsidP="00BE22F7">
            <w:pPr>
              <w:jc w:val="center"/>
              <w:rPr>
                <w:rFonts w:ascii="Arial" w:hAnsi="Arial" w:cs="Arial"/>
                <w:b/>
                <w:sz w:val="24"/>
                <w:szCs w:val="24"/>
              </w:rPr>
            </w:pPr>
            <w:r w:rsidRPr="00AC37C7">
              <w:rPr>
                <w:rFonts w:ascii="Arial" w:hAnsi="Arial" w:cs="Arial"/>
                <w:b/>
                <w:sz w:val="24"/>
                <w:szCs w:val="24"/>
              </w:rPr>
              <w:t>Time to Talk</w:t>
            </w:r>
          </w:p>
        </w:tc>
        <w:tc>
          <w:tcPr>
            <w:tcW w:w="6521" w:type="dxa"/>
            <w:shd w:val="clear" w:color="auto" w:fill="FFFFFF" w:themeFill="background1"/>
            <w:vAlign w:val="center"/>
          </w:tcPr>
          <w:p w14:paraId="484CF00D" w14:textId="77777777" w:rsidR="00515549" w:rsidRPr="00AC37C7" w:rsidRDefault="0025133C" w:rsidP="00BE22F7">
            <w:pPr>
              <w:rPr>
                <w:rFonts w:ascii="Arial" w:hAnsi="Arial" w:cs="Arial"/>
                <w:sz w:val="24"/>
                <w:szCs w:val="24"/>
                <w:shd w:val="clear" w:color="auto" w:fill="FBFBF9"/>
              </w:rPr>
            </w:pPr>
            <w:r w:rsidRPr="00AC37C7">
              <w:rPr>
                <w:rFonts w:ascii="Arial" w:hAnsi="Arial" w:cs="Arial"/>
                <w:sz w:val="24"/>
                <w:szCs w:val="24"/>
                <w:shd w:val="clear" w:color="auto" w:fill="FBFBF9"/>
              </w:rPr>
              <w:t>P</w:t>
            </w:r>
            <w:r w:rsidR="00515549" w:rsidRPr="00AC37C7">
              <w:rPr>
                <w:rFonts w:ascii="Arial" w:hAnsi="Arial" w:cs="Arial"/>
                <w:sz w:val="24"/>
                <w:szCs w:val="24"/>
                <w:shd w:val="clear" w:color="auto" w:fill="FBFBF9"/>
              </w:rPr>
              <w:t>rovide students a</w:t>
            </w:r>
            <w:r w:rsidRPr="00AC37C7">
              <w:rPr>
                <w:rFonts w:ascii="Arial" w:hAnsi="Arial" w:cs="Arial"/>
                <w:sz w:val="24"/>
                <w:szCs w:val="24"/>
                <w:shd w:val="clear" w:color="auto" w:fill="FBFBF9"/>
              </w:rPr>
              <w:t>n</w:t>
            </w:r>
            <w:r w:rsidR="00515549" w:rsidRPr="00AC37C7">
              <w:rPr>
                <w:rFonts w:ascii="Arial" w:hAnsi="Arial" w:cs="Arial"/>
                <w:sz w:val="24"/>
                <w:szCs w:val="24"/>
                <w:shd w:val="clear" w:color="auto" w:fill="FBFBF9"/>
              </w:rPr>
              <w:t xml:space="preserve"> opportunity to work one to one with staff and reflect on their experiences in a structured</w:t>
            </w:r>
            <w:r w:rsidRPr="00AC37C7">
              <w:rPr>
                <w:rFonts w:ascii="Arial" w:hAnsi="Arial" w:cs="Arial"/>
                <w:sz w:val="24"/>
                <w:szCs w:val="24"/>
                <w:shd w:val="clear" w:color="auto" w:fill="FBFBF9"/>
              </w:rPr>
              <w:t>, positive</w:t>
            </w:r>
            <w:r w:rsidR="00515549" w:rsidRPr="00AC37C7">
              <w:rPr>
                <w:rFonts w:ascii="Arial" w:hAnsi="Arial" w:cs="Arial"/>
                <w:sz w:val="24"/>
                <w:szCs w:val="24"/>
                <w:shd w:val="clear" w:color="auto" w:fill="FBFBF9"/>
              </w:rPr>
              <w:t xml:space="preserve"> way. It is intended to help develop a higher level of self-awareness and awareness of others</w:t>
            </w:r>
            <w:r w:rsidRPr="00AC37C7">
              <w:rPr>
                <w:rFonts w:ascii="Arial" w:hAnsi="Arial" w:cs="Arial"/>
                <w:sz w:val="24"/>
                <w:szCs w:val="24"/>
                <w:shd w:val="clear" w:color="auto" w:fill="FBFBF9"/>
              </w:rPr>
              <w:t xml:space="preserve"> and develop skills </w:t>
            </w:r>
            <w:r w:rsidR="00FB7F3C" w:rsidRPr="00AC37C7">
              <w:rPr>
                <w:rFonts w:ascii="Arial" w:hAnsi="Arial" w:cs="Arial"/>
                <w:sz w:val="24"/>
                <w:szCs w:val="24"/>
                <w:shd w:val="clear" w:color="auto" w:fill="FBFBF9"/>
              </w:rPr>
              <w:t xml:space="preserve">and confidence </w:t>
            </w:r>
            <w:r w:rsidRPr="00AC37C7">
              <w:rPr>
                <w:rFonts w:ascii="Arial" w:hAnsi="Arial" w:cs="Arial"/>
                <w:sz w:val="24"/>
                <w:szCs w:val="24"/>
                <w:shd w:val="clear" w:color="auto" w:fill="FBFBF9"/>
              </w:rPr>
              <w:t>to navigate the complexities of social situations in the school setting and beyond</w:t>
            </w:r>
            <w:r w:rsidR="00515549" w:rsidRPr="00AC37C7">
              <w:rPr>
                <w:rFonts w:ascii="Arial" w:hAnsi="Arial" w:cs="Arial"/>
                <w:sz w:val="24"/>
                <w:szCs w:val="24"/>
                <w:shd w:val="clear" w:color="auto" w:fill="FBFBF9"/>
              </w:rPr>
              <w:t xml:space="preserve">. </w:t>
            </w:r>
          </w:p>
        </w:tc>
        <w:tc>
          <w:tcPr>
            <w:tcW w:w="1984" w:type="dxa"/>
            <w:shd w:val="clear" w:color="auto" w:fill="FFFFFF" w:themeFill="background1"/>
            <w:vAlign w:val="center"/>
          </w:tcPr>
          <w:p w14:paraId="4AA1F4FE" w14:textId="77777777" w:rsidR="00515549" w:rsidRPr="00AC37C7" w:rsidRDefault="00515549" w:rsidP="00515549">
            <w:pPr>
              <w:jc w:val="center"/>
              <w:rPr>
                <w:rFonts w:ascii="Arial" w:hAnsi="Arial" w:cs="Arial"/>
                <w:sz w:val="24"/>
                <w:szCs w:val="24"/>
              </w:rPr>
            </w:pPr>
            <w:r w:rsidRPr="00AC37C7">
              <w:rPr>
                <w:rFonts w:ascii="Arial" w:hAnsi="Arial" w:cs="Arial"/>
                <w:sz w:val="24"/>
                <w:szCs w:val="24"/>
              </w:rPr>
              <w:t>EYFS</w:t>
            </w:r>
          </w:p>
          <w:p w14:paraId="42409F0C" w14:textId="77777777" w:rsidR="00515549" w:rsidRPr="00AC37C7" w:rsidRDefault="00515549" w:rsidP="00515549">
            <w:pPr>
              <w:jc w:val="center"/>
              <w:rPr>
                <w:rFonts w:ascii="Arial" w:hAnsi="Arial" w:cs="Arial"/>
                <w:sz w:val="24"/>
                <w:szCs w:val="24"/>
              </w:rPr>
            </w:pPr>
            <w:r w:rsidRPr="00AC37C7">
              <w:rPr>
                <w:rFonts w:ascii="Arial" w:hAnsi="Arial" w:cs="Arial"/>
                <w:sz w:val="24"/>
                <w:szCs w:val="24"/>
              </w:rPr>
              <w:t>KS1</w:t>
            </w:r>
          </w:p>
          <w:p w14:paraId="442262FB" w14:textId="77777777" w:rsidR="00515549" w:rsidRPr="00AC37C7" w:rsidRDefault="00515549" w:rsidP="00515549">
            <w:pPr>
              <w:jc w:val="center"/>
              <w:rPr>
                <w:rFonts w:ascii="Arial" w:hAnsi="Arial" w:cs="Arial"/>
                <w:sz w:val="24"/>
                <w:szCs w:val="24"/>
              </w:rPr>
            </w:pPr>
            <w:r w:rsidRPr="00AC37C7">
              <w:rPr>
                <w:rFonts w:ascii="Arial" w:hAnsi="Arial" w:cs="Arial"/>
                <w:sz w:val="24"/>
                <w:szCs w:val="24"/>
              </w:rPr>
              <w:t>KS2</w:t>
            </w:r>
          </w:p>
        </w:tc>
      </w:tr>
      <w:tr w:rsidR="00E14BF6" w:rsidRPr="00AC37C7" w14:paraId="0E3839A8" w14:textId="77777777" w:rsidTr="00257AA0">
        <w:trPr>
          <w:trHeight w:val="1107"/>
        </w:trPr>
        <w:tc>
          <w:tcPr>
            <w:tcW w:w="2263" w:type="dxa"/>
            <w:shd w:val="clear" w:color="auto" w:fill="FFFFFF" w:themeFill="background1"/>
            <w:vAlign w:val="center"/>
          </w:tcPr>
          <w:p w14:paraId="77BC77FD" w14:textId="77777777" w:rsidR="00E14BF6" w:rsidRPr="00AC37C7" w:rsidRDefault="00E14BF6" w:rsidP="00BE22F7">
            <w:pPr>
              <w:jc w:val="center"/>
              <w:rPr>
                <w:rFonts w:ascii="Arial" w:hAnsi="Arial" w:cs="Arial"/>
                <w:b/>
                <w:sz w:val="24"/>
                <w:szCs w:val="24"/>
              </w:rPr>
            </w:pPr>
            <w:r w:rsidRPr="00AC37C7">
              <w:rPr>
                <w:rFonts w:ascii="Arial" w:hAnsi="Arial" w:cs="Arial"/>
                <w:b/>
                <w:sz w:val="24"/>
                <w:szCs w:val="24"/>
              </w:rPr>
              <w:t>Volcano in My Tummy</w:t>
            </w:r>
          </w:p>
        </w:tc>
        <w:tc>
          <w:tcPr>
            <w:tcW w:w="6521" w:type="dxa"/>
            <w:shd w:val="clear" w:color="auto" w:fill="FFFFFF" w:themeFill="background1"/>
            <w:vAlign w:val="center"/>
          </w:tcPr>
          <w:p w14:paraId="145420EB" w14:textId="77777777" w:rsidR="00E14BF6" w:rsidRPr="00AC37C7" w:rsidRDefault="00E14BF6" w:rsidP="00BE22F7">
            <w:pPr>
              <w:rPr>
                <w:rFonts w:ascii="Arial" w:hAnsi="Arial" w:cs="Arial"/>
                <w:sz w:val="24"/>
                <w:szCs w:val="24"/>
                <w:shd w:val="clear" w:color="auto" w:fill="FBFBF9"/>
              </w:rPr>
            </w:pPr>
            <w:r w:rsidRPr="00AC37C7">
              <w:rPr>
                <w:rFonts w:ascii="Arial" w:hAnsi="Arial" w:cs="Arial"/>
                <w:i/>
                <w:iCs/>
                <w:sz w:val="24"/>
                <w:szCs w:val="24"/>
                <w:shd w:val="clear" w:color="auto" w:fill="FBFBF9"/>
              </w:rPr>
              <w:t>A Volcano in My Tummy: Helping Children to Handle Anger </w:t>
            </w:r>
            <w:r w:rsidRPr="00AC37C7">
              <w:rPr>
                <w:rFonts w:ascii="Arial" w:hAnsi="Arial" w:cs="Arial"/>
                <w:sz w:val="24"/>
                <w:szCs w:val="24"/>
                <w:shd w:val="clear" w:color="auto" w:fill="FBFBF9"/>
              </w:rPr>
              <w:t>presents a clear and effective approach to helping children and adults alike understand and deal constructively with children's anger. By carefully distinguishing between anger the feeling, and violence the behavior, this accessible little book helps to create an awareness of anger, enabling children to relate creatively and harmoniously at critical stages in their development.</w:t>
            </w:r>
          </w:p>
        </w:tc>
        <w:tc>
          <w:tcPr>
            <w:tcW w:w="1984" w:type="dxa"/>
            <w:shd w:val="clear" w:color="auto" w:fill="FFFFFF" w:themeFill="background1"/>
            <w:vAlign w:val="center"/>
          </w:tcPr>
          <w:p w14:paraId="7A7FA285" w14:textId="77777777" w:rsidR="00E14BF6" w:rsidRPr="00AC37C7" w:rsidRDefault="00E14BF6" w:rsidP="00515549">
            <w:pPr>
              <w:jc w:val="center"/>
              <w:rPr>
                <w:rFonts w:ascii="Arial" w:hAnsi="Arial" w:cs="Arial"/>
                <w:sz w:val="24"/>
                <w:szCs w:val="24"/>
              </w:rPr>
            </w:pPr>
            <w:r w:rsidRPr="00AC37C7">
              <w:rPr>
                <w:rFonts w:ascii="Arial" w:hAnsi="Arial" w:cs="Arial"/>
                <w:sz w:val="24"/>
                <w:szCs w:val="24"/>
              </w:rPr>
              <w:t>6-13 years</w:t>
            </w:r>
          </w:p>
          <w:p w14:paraId="0D8ACFA4" w14:textId="77777777" w:rsidR="00E14BF6" w:rsidRPr="00AC37C7" w:rsidRDefault="00E14BF6" w:rsidP="00E14BF6">
            <w:pPr>
              <w:jc w:val="center"/>
              <w:rPr>
                <w:rFonts w:ascii="Arial" w:hAnsi="Arial" w:cs="Arial"/>
                <w:sz w:val="24"/>
                <w:szCs w:val="24"/>
              </w:rPr>
            </w:pPr>
            <w:r w:rsidRPr="00AC37C7">
              <w:rPr>
                <w:rFonts w:ascii="Arial" w:hAnsi="Arial" w:cs="Arial"/>
                <w:sz w:val="24"/>
                <w:szCs w:val="24"/>
              </w:rPr>
              <w:t>KS1</w:t>
            </w:r>
          </w:p>
          <w:p w14:paraId="214C7BDB" w14:textId="77777777" w:rsidR="00E14BF6" w:rsidRPr="00AC37C7" w:rsidRDefault="00E14BF6" w:rsidP="00E14BF6">
            <w:pPr>
              <w:jc w:val="center"/>
              <w:rPr>
                <w:rFonts w:ascii="Arial" w:hAnsi="Arial" w:cs="Arial"/>
                <w:sz w:val="24"/>
                <w:szCs w:val="24"/>
              </w:rPr>
            </w:pPr>
            <w:r w:rsidRPr="00AC37C7">
              <w:rPr>
                <w:rFonts w:ascii="Arial" w:hAnsi="Arial" w:cs="Arial"/>
                <w:sz w:val="24"/>
                <w:szCs w:val="24"/>
              </w:rPr>
              <w:t>KS2</w:t>
            </w:r>
          </w:p>
        </w:tc>
      </w:tr>
      <w:tr w:rsidR="00CD1073" w:rsidRPr="00AC37C7" w14:paraId="2AAE5752" w14:textId="77777777" w:rsidTr="00257AA0">
        <w:trPr>
          <w:trHeight w:val="1107"/>
        </w:trPr>
        <w:tc>
          <w:tcPr>
            <w:tcW w:w="2263" w:type="dxa"/>
            <w:shd w:val="clear" w:color="auto" w:fill="FFFFFF" w:themeFill="background1"/>
            <w:vAlign w:val="center"/>
          </w:tcPr>
          <w:p w14:paraId="1E08A53F" w14:textId="77777777" w:rsidR="00CD1073" w:rsidRPr="00AC37C7" w:rsidRDefault="00CD1073" w:rsidP="00BE22F7">
            <w:pPr>
              <w:jc w:val="center"/>
              <w:rPr>
                <w:rFonts w:ascii="Arial" w:hAnsi="Arial" w:cs="Arial"/>
                <w:b/>
                <w:sz w:val="24"/>
                <w:szCs w:val="24"/>
              </w:rPr>
            </w:pPr>
            <w:r w:rsidRPr="00AC37C7">
              <w:rPr>
                <w:rFonts w:ascii="Arial" w:hAnsi="Arial" w:cs="Arial"/>
                <w:b/>
                <w:sz w:val="24"/>
                <w:szCs w:val="24"/>
              </w:rPr>
              <w:t>Memory Fix</w:t>
            </w:r>
          </w:p>
        </w:tc>
        <w:tc>
          <w:tcPr>
            <w:tcW w:w="6521" w:type="dxa"/>
            <w:shd w:val="clear" w:color="auto" w:fill="FFFFFF" w:themeFill="background1"/>
            <w:vAlign w:val="center"/>
          </w:tcPr>
          <w:p w14:paraId="4CB812BD" w14:textId="77777777" w:rsidR="00CD1073" w:rsidRPr="00AC37C7" w:rsidRDefault="00CD1073" w:rsidP="00BE22F7">
            <w:pPr>
              <w:rPr>
                <w:rFonts w:ascii="Arial" w:hAnsi="Arial" w:cs="Arial"/>
                <w:iCs/>
                <w:sz w:val="24"/>
                <w:szCs w:val="24"/>
                <w:shd w:val="clear" w:color="auto" w:fill="FBFBF9"/>
              </w:rPr>
            </w:pPr>
            <w:r w:rsidRPr="00AC37C7">
              <w:rPr>
                <w:rFonts w:ascii="Arial" w:hAnsi="Arial" w:cs="Arial"/>
                <w:iCs/>
                <w:sz w:val="24"/>
                <w:szCs w:val="24"/>
                <w:shd w:val="clear" w:color="auto" w:fill="FBFBF9"/>
              </w:rPr>
              <w:t xml:space="preserve">A compilation of structured games to help develop memory skills and strategies. Aimed to support children who have difficulties with working memory in finding techniques to strengthen this area. </w:t>
            </w:r>
          </w:p>
        </w:tc>
        <w:tc>
          <w:tcPr>
            <w:tcW w:w="1984" w:type="dxa"/>
            <w:shd w:val="clear" w:color="auto" w:fill="FFFFFF" w:themeFill="background1"/>
            <w:vAlign w:val="center"/>
          </w:tcPr>
          <w:p w14:paraId="4CB3C6FC" w14:textId="77777777" w:rsidR="00CD1073" w:rsidRPr="00AC37C7" w:rsidRDefault="00670D56" w:rsidP="00515549">
            <w:pPr>
              <w:jc w:val="center"/>
              <w:rPr>
                <w:rFonts w:ascii="Arial" w:hAnsi="Arial" w:cs="Arial"/>
                <w:sz w:val="24"/>
                <w:szCs w:val="24"/>
              </w:rPr>
            </w:pPr>
            <w:r w:rsidRPr="00AC37C7">
              <w:rPr>
                <w:rFonts w:ascii="Arial" w:hAnsi="Arial" w:cs="Arial"/>
                <w:sz w:val="24"/>
                <w:szCs w:val="24"/>
              </w:rPr>
              <w:t>KS1</w:t>
            </w:r>
          </w:p>
          <w:p w14:paraId="27E581B9" w14:textId="77777777" w:rsidR="00670D56" w:rsidRPr="00AC37C7" w:rsidRDefault="00670D56" w:rsidP="00515549">
            <w:pPr>
              <w:jc w:val="center"/>
              <w:rPr>
                <w:rFonts w:ascii="Arial" w:hAnsi="Arial" w:cs="Arial"/>
                <w:sz w:val="24"/>
                <w:szCs w:val="24"/>
              </w:rPr>
            </w:pPr>
            <w:r w:rsidRPr="00AC37C7">
              <w:rPr>
                <w:rFonts w:ascii="Arial" w:hAnsi="Arial" w:cs="Arial"/>
                <w:sz w:val="24"/>
                <w:szCs w:val="24"/>
              </w:rPr>
              <w:t>KS2</w:t>
            </w:r>
          </w:p>
        </w:tc>
      </w:tr>
    </w:tbl>
    <w:p w14:paraId="7D58B8B5" w14:textId="77777777" w:rsidR="000D2D02" w:rsidRDefault="000D2D02" w:rsidP="000D2D02">
      <w:pPr>
        <w:jc w:val="center"/>
      </w:pPr>
    </w:p>
    <w:sectPr w:rsidR="000D2D02" w:rsidSect="000D2D02">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DA4E" w14:textId="77777777" w:rsidR="00D80982" w:rsidRDefault="00D80982" w:rsidP="000D2D02">
      <w:pPr>
        <w:spacing w:after="0" w:line="240" w:lineRule="auto"/>
      </w:pPr>
      <w:r>
        <w:separator/>
      </w:r>
    </w:p>
  </w:endnote>
  <w:endnote w:type="continuationSeparator" w:id="0">
    <w:p w14:paraId="3EF9D095" w14:textId="77777777" w:rsidR="00D80982" w:rsidRDefault="00D80982" w:rsidP="000D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EECA" w14:textId="77777777" w:rsidR="00D80982" w:rsidRDefault="00D80982" w:rsidP="000D2D02">
      <w:pPr>
        <w:spacing w:after="0" w:line="240" w:lineRule="auto"/>
      </w:pPr>
      <w:r>
        <w:separator/>
      </w:r>
    </w:p>
  </w:footnote>
  <w:footnote w:type="continuationSeparator" w:id="0">
    <w:p w14:paraId="61DBCB24" w14:textId="77777777" w:rsidR="00D80982" w:rsidRDefault="00D80982" w:rsidP="000D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94A7" w14:textId="77777777" w:rsidR="00CD1073" w:rsidRDefault="00CD1073">
    <w:pPr>
      <w:pStyle w:val="Header"/>
    </w:pPr>
    <w:r>
      <w:rPr>
        <w:noProof/>
      </w:rPr>
      <w:drawing>
        <wp:anchor distT="0" distB="0" distL="114300" distR="114300" simplePos="0" relativeHeight="251658240" behindDoc="1" locked="0" layoutInCell="1" allowOverlap="1" wp14:anchorId="518A6665" wp14:editId="45870237">
          <wp:simplePos x="0" y="0"/>
          <wp:positionH relativeFrom="margin">
            <wp:align>left</wp:align>
          </wp:positionH>
          <wp:positionV relativeFrom="margin">
            <wp:posOffset>-371475</wp:posOffset>
          </wp:positionV>
          <wp:extent cx="264795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47950"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02"/>
    <w:rsid w:val="0000133C"/>
    <w:rsid w:val="000C7856"/>
    <w:rsid w:val="000D2D02"/>
    <w:rsid w:val="001152AB"/>
    <w:rsid w:val="001942FE"/>
    <w:rsid w:val="0025133C"/>
    <w:rsid w:val="00257AA0"/>
    <w:rsid w:val="0032597F"/>
    <w:rsid w:val="00391C8C"/>
    <w:rsid w:val="004155B0"/>
    <w:rsid w:val="00420BF5"/>
    <w:rsid w:val="004C3ECB"/>
    <w:rsid w:val="00515549"/>
    <w:rsid w:val="00670D56"/>
    <w:rsid w:val="007B0493"/>
    <w:rsid w:val="00A21EBE"/>
    <w:rsid w:val="00AC37C7"/>
    <w:rsid w:val="00BE22F7"/>
    <w:rsid w:val="00C03D57"/>
    <w:rsid w:val="00CD1073"/>
    <w:rsid w:val="00D80982"/>
    <w:rsid w:val="00E00027"/>
    <w:rsid w:val="00E14BF6"/>
    <w:rsid w:val="00E548EF"/>
    <w:rsid w:val="00E8709C"/>
    <w:rsid w:val="00FB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4FCA"/>
  <w15:chartTrackingRefBased/>
  <w15:docId w15:val="{580FFD8F-36D4-41F2-B28B-81FFD067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02"/>
  </w:style>
  <w:style w:type="paragraph" w:styleId="Footer">
    <w:name w:val="footer"/>
    <w:basedOn w:val="Normal"/>
    <w:link w:val="FooterChar"/>
    <w:uiPriority w:val="99"/>
    <w:unhideWhenUsed/>
    <w:rsid w:val="000D2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02"/>
  </w:style>
  <w:style w:type="table" w:styleId="TableGrid">
    <w:name w:val="Table Grid"/>
    <w:basedOn w:val="TableNormal"/>
    <w:uiPriority w:val="39"/>
    <w:rsid w:val="000D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9971">
      <w:bodyDiv w:val="1"/>
      <w:marLeft w:val="0"/>
      <w:marRight w:val="0"/>
      <w:marTop w:val="0"/>
      <w:marBottom w:val="0"/>
      <w:divBdr>
        <w:top w:val="none" w:sz="0" w:space="0" w:color="auto"/>
        <w:left w:val="none" w:sz="0" w:space="0" w:color="auto"/>
        <w:bottom w:val="none" w:sz="0" w:space="0" w:color="auto"/>
        <w:right w:val="none" w:sz="0" w:space="0" w:color="auto"/>
      </w:divBdr>
    </w:div>
    <w:div w:id="354428548">
      <w:bodyDiv w:val="1"/>
      <w:marLeft w:val="0"/>
      <w:marRight w:val="0"/>
      <w:marTop w:val="0"/>
      <w:marBottom w:val="0"/>
      <w:divBdr>
        <w:top w:val="none" w:sz="0" w:space="0" w:color="auto"/>
        <w:left w:val="none" w:sz="0" w:space="0" w:color="auto"/>
        <w:bottom w:val="none" w:sz="0" w:space="0" w:color="auto"/>
        <w:right w:val="none" w:sz="0" w:space="0" w:color="auto"/>
      </w:divBdr>
    </w:div>
    <w:div w:id="1218205057">
      <w:bodyDiv w:val="1"/>
      <w:marLeft w:val="0"/>
      <w:marRight w:val="0"/>
      <w:marTop w:val="0"/>
      <w:marBottom w:val="0"/>
      <w:divBdr>
        <w:top w:val="none" w:sz="0" w:space="0" w:color="auto"/>
        <w:left w:val="none" w:sz="0" w:space="0" w:color="auto"/>
        <w:bottom w:val="none" w:sz="0" w:space="0" w:color="auto"/>
        <w:right w:val="none" w:sz="0" w:space="0" w:color="auto"/>
      </w:divBdr>
    </w:div>
    <w:div w:id="1555461601">
      <w:bodyDiv w:val="1"/>
      <w:marLeft w:val="0"/>
      <w:marRight w:val="0"/>
      <w:marTop w:val="0"/>
      <w:marBottom w:val="0"/>
      <w:divBdr>
        <w:top w:val="none" w:sz="0" w:space="0" w:color="auto"/>
        <w:left w:val="none" w:sz="0" w:space="0" w:color="auto"/>
        <w:bottom w:val="none" w:sz="0" w:space="0" w:color="auto"/>
        <w:right w:val="none" w:sz="0" w:space="0" w:color="auto"/>
      </w:divBdr>
    </w:div>
    <w:div w:id="1612011748">
      <w:bodyDiv w:val="1"/>
      <w:marLeft w:val="0"/>
      <w:marRight w:val="0"/>
      <w:marTop w:val="0"/>
      <w:marBottom w:val="0"/>
      <w:divBdr>
        <w:top w:val="none" w:sz="0" w:space="0" w:color="auto"/>
        <w:left w:val="none" w:sz="0" w:space="0" w:color="auto"/>
        <w:bottom w:val="none" w:sz="0" w:space="0" w:color="auto"/>
        <w:right w:val="none" w:sz="0" w:space="0" w:color="auto"/>
      </w:divBdr>
    </w:div>
    <w:div w:id="18548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Weald Community Primary School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Coleman</dc:creator>
  <cp:keywords/>
  <dc:description/>
  <cp:lastModifiedBy>Holly Hutchins</cp:lastModifiedBy>
  <cp:revision>2</cp:revision>
  <dcterms:created xsi:type="dcterms:W3CDTF">2021-02-01T14:16:00Z</dcterms:created>
  <dcterms:modified xsi:type="dcterms:W3CDTF">2021-02-01T14:16:00Z</dcterms:modified>
</cp:coreProperties>
</file>